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Default="00686683" w:rsidP="00686683">
      <w:pPr>
        <w:pStyle w:val="Defaul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F901FA">
        <w:rPr>
          <w:rFonts w:ascii="微軟正黑體" w:eastAsia="微軟正黑體" w:hAnsi="微軟正黑體" w:cs="Times New Roman"/>
          <w:b/>
          <w:sz w:val="40"/>
          <w:szCs w:val="40"/>
        </w:rPr>
        <w:t>肺炎鏈球菌</w:t>
      </w:r>
      <w:proofErr w:type="gramStart"/>
      <w:r w:rsidRPr="00F901FA">
        <w:rPr>
          <w:rFonts w:ascii="微軟正黑體" w:eastAsia="微軟正黑體" w:hAnsi="微軟正黑體" w:cs="Times New Roman"/>
          <w:b/>
          <w:sz w:val="40"/>
          <w:szCs w:val="40"/>
        </w:rPr>
        <w:t>多醣體疫苗</w:t>
      </w:r>
      <w:proofErr w:type="gramEnd"/>
      <w:r w:rsidRPr="00F901FA">
        <w:rPr>
          <w:rFonts w:ascii="微軟正黑體" w:eastAsia="微軟正黑體" w:hAnsi="微軟正黑體" w:cs="Times New Roman"/>
          <w:b/>
          <w:sz w:val="40"/>
          <w:szCs w:val="40"/>
        </w:rPr>
        <w:t>(PPV)接種須知</w:t>
      </w:r>
    </w:p>
    <w:p w:rsidR="00686683" w:rsidRPr="00F901FA" w:rsidRDefault="00686683" w:rsidP="00686683">
      <w:pPr>
        <w:pStyle w:val="Default"/>
        <w:spacing w:line="2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</w:p>
    <w:p w:rsidR="00686683" w:rsidRPr="00F901FA" w:rsidRDefault="00686683" w:rsidP="00686683">
      <w:pPr>
        <w:pStyle w:val="Default"/>
        <w:numPr>
          <w:ilvl w:val="0"/>
          <w:numId w:val="1"/>
        </w:numPr>
        <w:ind w:left="420" w:hanging="42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F901FA">
        <w:rPr>
          <w:rFonts w:ascii="微軟正黑體" w:eastAsia="微軟正黑體" w:hAnsi="微軟正黑體" w:cs="Times New Roman"/>
          <w:b/>
          <w:sz w:val="28"/>
          <w:szCs w:val="28"/>
        </w:rPr>
        <w:t>疾病介紹</w:t>
      </w:r>
    </w:p>
    <w:p w:rsidR="00686683" w:rsidRDefault="00686683" w:rsidP="00686683">
      <w:pPr>
        <w:pStyle w:val="Defaul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901FA">
        <w:rPr>
          <w:rFonts w:ascii="微軟正黑體" w:eastAsia="微軟正黑體" w:hAnsi="微軟正黑體" w:cs="Times New Roman" w:hint="eastAsia"/>
          <w:sz w:val="28"/>
          <w:szCs w:val="28"/>
        </w:rPr>
        <w:t xml:space="preserve">   </w:t>
      </w:r>
      <w:r w:rsidRPr="00F901FA">
        <w:rPr>
          <w:rFonts w:ascii="微軟正黑體" w:eastAsia="微軟正黑體" w:hAnsi="微軟正黑體" w:cs="Times New Roman"/>
          <w:sz w:val="28"/>
          <w:szCs w:val="28"/>
        </w:rPr>
        <w:t>肺炎鏈球菌為感染人類重要且常見的細菌，可引起厲害的中耳炎、肺炎、菌血症、腦膜炎，嚴重者會導致死亡。任何人都可能感染肺炎鏈球菌，而下列則是高危險群，包括65歲以上的老人、有特殊健康問題的人，如酗酒、慢性心臟或肺部疾病、腎功能衰竭、糖尿病、癌症、沒有脾臟的人、長期服用類固醇或是接受化學治療、放射線治療的人。</w:t>
      </w:r>
    </w:p>
    <w:p w:rsidR="00686683" w:rsidRPr="00F901FA" w:rsidRDefault="00686683" w:rsidP="00686683">
      <w:pPr>
        <w:pStyle w:val="Default"/>
        <w:spacing w:line="24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</w:p>
    <w:p w:rsidR="00686683" w:rsidRPr="00F901FA" w:rsidRDefault="00686683" w:rsidP="00686683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</w:rPr>
      </w:pPr>
      <w:r w:rsidRPr="00F901FA">
        <w:rPr>
          <w:rFonts w:ascii="微軟正黑體" w:eastAsia="微軟正黑體" w:hAnsi="微軟正黑體" w:hint="eastAsia"/>
          <w:b/>
          <w:sz w:val="28"/>
          <w:szCs w:val="28"/>
        </w:rPr>
        <w:t>疫苗接種時間</w:t>
      </w:r>
    </w:p>
    <w:p w:rsidR="00686683" w:rsidRPr="00F901FA" w:rsidRDefault="00686683" w:rsidP="00686683">
      <w:pPr>
        <w:pStyle w:val="Default"/>
        <w:jc w:val="both"/>
        <w:rPr>
          <w:rFonts w:ascii="微軟正黑體" w:eastAsia="微軟正黑體" w:hAnsi="微軟正黑體"/>
          <w:sz w:val="28"/>
          <w:szCs w:val="28"/>
        </w:rPr>
      </w:pPr>
      <w:r w:rsidRPr="00F901FA">
        <w:rPr>
          <w:rFonts w:ascii="微軟正黑體" w:eastAsia="微軟正黑體" w:hAnsi="微軟正黑體" w:hint="eastAsia"/>
          <w:sz w:val="28"/>
          <w:szCs w:val="28"/>
        </w:rPr>
        <w:t xml:space="preserve">    肺炎鏈球菌</w:t>
      </w:r>
      <w:proofErr w:type="gramStart"/>
      <w:r w:rsidRPr="00F901FA">
        <w:rPr>
          <w:rFonts w:ascii="微軟正黑體" w:eastAsia="微軟正黑體" w:hAnsi="微軟正黑體" w:hint="eastAsia"/>
          <w:sz w:val="28"/>
          <w:szCs w:val="28"/>
        </w:rPr>
        <w:t>多醣體疫苗</w:t>
      </w:r>
      <w:proofErr w:type="gramEnd"/>
      <w:r w:rsidRPr="00F901FA">
        <w:rPr>
          <w:rFonts w:ascii="微軟正黑體" w:eastAsia="微軟正黑體" w:hAnsi="微軟正黑體" w:hint="eastAsia"/>
          <w:sz w:val="28"/>
          <w:szCs w:val="28"/>
        </w:rPr>
        <w:t>可以和其他疫苗同時接種於不同部位或間隔任何時間接種，</w:t>
      </w:r>
      <w:r w:rsidR="00D12073">
        <w:rPr>
          <w:rFonts w:ascii="微軟正黑體" w:eastAsia="微軟正黑體" w:hAnsi="微軟正黑體" w:hint="eastAsia"/>
          <w:sz w:val="28"/>
          <w:szCs w:val="28"/>
        </w:rPr>
        <w:t>請及早接種以預防</w:t>
      </w:r>
      <w:r w:rsidR="00D12073" w:rsidRPr="0070230B">
        <w:rPr>
          <w:rFonts w:ascii="微軟正黑體" w:eastAsia="微軟正黑體" w:hAnsi="微軟正黑體" w:hint="eastAsia"/>
          <w:sz w:val="28"/>
          <w:szCs w:val="28"/>
        </w:rPr>
        <w:t>肺炎等嚴重併發症的發生</w:t>
      </w:r>
      <w:r w:rsidR="00D12073">
        <w:rPr>
          <w:rFonts w:ascii="微軟正黑體" w:eastAsia="微軟正黑體" w:hAnsi="微軟正黑體" w:hint="eastAsia"/>
          <w:sz w:val="28"/>
          <w:szCs w:val="28"/>
        </w:rPr>
        <w:t>保障長者健康</w:t>
      </w:r>
      <w:r w:rsidR="00D12073" w:rsidRPr="0070230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86683" w:rsidRPr="00F901FA" w:rsidRDefault="00686683" w:rsidP="00686683">
      <w:pPr>
        <w:pStyle w:val="Default"/>
        <w:spacing w:line="240" w:lineRule="exact"/>
        <w:rPr>
          <w:rFonts w:ascii="微軟正黑體" w:eastAsia="微軟正黑體" w:hAnsi="微軟正黑體"/>
          <w:sz w:val="28"/>
          <w:szCs w:val="28"/>
        </w:rPr>
      </w:pPr>
    </w:p>
    <w:p w:rsidR="00686683" w:rsidRPr="00432C13" w:rsidRDefault="00686683" w:rsidP="00686683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32C1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公費疫苗接種對象</w:t>
      </w:r>
    </w:p>
    <w:p w:rsidR="00686683" w:rsidRDefault="00686683" w:rsidP="00686683">
      <w:pPr>
        <w:pStyle w:val="Default"/>
        <w:rPr>
          <w:rFonts w:ascii="微軟正黑體" w:eastAsia="微軟正黑體" w:hAnsi="微軟正黑體"/>
          <w:sz w:val="28"/>
          <w:szCs w:val="28"/>
        </w:rPr>
      </w:pPr>
      <w:r w:rsidRPr="00432C13">
        <w:rPr>
          <w:rFonts w:ascii="微軟正黑體" w:eastAsia="微軟正黑體" w:hAnsi="微軟正黑體" w:cs="Wingdings"/>
          <w:color w:val="FF0000"/>
          <w:sz w:val="28"/>
          <w:szCs w:val="28"/>
        </w:rPr>
        <w:t></w:t>
      </w:r>
      <w:r w:rsidRPr="00432C13">
        <w:rPr>
          <w:rFonts w:ascii="微軟正黑體" w:eastAsia="微軟正黑體" w:hAnsi="微軟正黑體" w:cs="Wingdings"/>
          <w:color w:val="FF0000"/>
          <w:sz w:val="28"/>
          <w:szCs w:val="28"/>
        </w:rPr>
        <w:t></w:t>
      </w:r>
      <w:r w:rsidRPr="00432C13">
        <w:rPr>
          <w:rFonts w:ascii="微軟正黑體" w:eastAsia="微軟正黑體" w:hAnsi="微軟正黑體" w:hint="eastAsia"/>
          <w:color w:val="FF0000"/>
          <w:sz w:val="28"/>
          <w:szCs w:val="28"/>
        </w:rPr>
        <w:t>全國</w:t>
      </w:r>
      <w:r w:rsidRPr="00432C13">
        <w:rPr>
          <w:rFonts w:ascii="微軟正黑體" w:eastAsia="微軟正黑體" w:hAnsi="微軟正黑體" w:cs="Times New Roman"/>
          <w:color w:val="FF0000"/>
          <w:sz w:val="28"/>
          <w:szCs w:val="28"/>
        </w:rPr>
        <w:t>75歲</w:t>
      </w:r>
      <w:r w:rsidRPr="00432C13">
        <w:rPr>
          <w:rFonts w:ascii="微軟正黑體" w:eastAsia="微軟正黑體" w:hAnsi="微軟正黑體" w:hint="eastAsia"/>
          <w:color w:val="FF0000"/>
          <w:sz w:val="28"/>
          <w:szCs w:val="28"/>
        </w:rPr>
        <w:t>以上長者</w:t>
      </w:r>
      <w:r w:rsidRPr="00432C13">
        <w:rPr>
          <w:rFonts w:ascii="微軟正黑體" w:eastAsia="微軟正黑體" w:hAnsi="微軟正黑體" w:hint="eastAsia"/>
          <w:color w:val="0000FF"/>
          <w:sz w:val="28"/>
          <w:szCs w:val="28"/>
        </w:rPr>
        <w:t>。</w:t>
      </w:r>
    </w:p>
    <w:p w:rsidR="00686683" w:rsidRPr="00F901FA" w:rsidRDefault="00686683" w:rsidP="00686683">
      <w:pPr>
        <w:pStyle w:val="Default"/>
        <w:spacing w:line="240" w:lineRule="exact"/>
        <w:rPr>
          <w:rFonts w:ascii="微軟正黑體" w:eastAsia="微軟正黑體" w:hAnsi="微軟正黑體"/>
          <w:sz w:val="28"/>
          <w:szCs w:val="28"/>
        </w:rPr>
      </w:pPr>
    </w:p>
    <w:p w:rsidR="00686683" w:rsidRPr="00432C13" w:rsidRDefault="00686683" w:rsidP="00686683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432C13">
        <w:rPr>
          <w:rFonts w:ascii="微軟正黑體" w:eastAsia="微軟正黑體" w:hAnsi="微軟正黑體" w:cs="Wingdings" w:hint="eastAsia"/>
          <w:b/>
          <w:color w:val="0000FF"/>
          <w:sz w:val="28"/>
          <w:szCs w:val="28"/>
        </w:rPr>
        <w:t>雲林縣</w:t>
      </w:r>
      <w:r w:rsidRPr="00432C13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補助疫苗接種對象</w:t>
      </w:r>
    </w:p>
    <w:p w:rsidR="00686683" w:rsidRPr="00432C13" w:rsidRDefault="00686683" w:rsidP="00686683">
      <w:pPr>
        <w:pStyle w:val="Default"/>
        <w:rPr>
          <w:rFonts w:ascii="微軟正黑體" w:eastAsia="微軟正黑體" w:hAnsi="微軟正黑體" w:cs="Times New Roman"/>
          <w:color w:val="0000FF"/>
          <w:sz w:val="28"/>
          <w:szCs w:val="28"/>
        </w:rPr>
      </w:pPr>
      <w:r w:rsidRPr="00432C13">
        <w:rPr>
          <w:rFonts w:ascii="微軟正黑體" w:eastAsia="微軟正黑體" w:hAnsi="微軟正黑體" w:cs="Wingdings" w:hint="eastAsia"/>
          <w:color w:val="0000FF"/>
          <w:sz w:val="28"/>
          <w:szCs w:val="28"/>
        </w:rPr>
        <w:t xml:space="preserve">    </w:t>
      </w:r>
      <w:r w:rsidRPr="00432C13">
        <w:rPr>
          <w:rFonts w:ascii="微軟正黑體" w:eastAsia="微軟正黑體" w:hAnsi="微軟正黑體" w:hint="eastAsia"/>
          <w:color w:val="0000FF"/>
          <w:sz w:val="28"/>
          <w:szCs w:val="28"/>
        </w:rPr>
        <w:t>設籍在本縣</w:t>
      </w:r>
      <w:r w:rsidRPr="00432C13">
        <w:rPr>
          <w:rFonts w:ascii="微軟正黑體" w:eastAsia="微軟正黑體" w:hAnsi="微軟正黑體" w:cs="Times New Roman"/>
          <w:color w:val="0000FF"/>
          <w:sz w:val="28"/>
          <w:szCs w:val="28"/>
        </w:rPr>
        <w:t>65-74歲之長者</w:t>
      </w:r>
      <w:r w:rsidRPr="00432C13">
        <w:rPr>
          <w:rFonts w:ascii="微軟正黑體" w:eastAsia="微軟正黑體" w:hAnsi="微軟正黑體" w:cs="Times New Roman" w:hint="eastAsia"/>
          <w:color w:val="0000FF"/>
          <w:sz w:val="28"/>
          <w:szCs w:val="28"/>
        </w:rPr>
        <w:t>。</w:t>
      </w:r>
    </w:p>
    <w:p w:rsidR="00686683" w:rsidRPr="00F901FA" w:rsidRDefault="00686683" w:rsidP="00686683">
      <w:pPr>
        <w:pStyle w:val="Default"/>
        <w:spacing w:line="240" w:lineRule="exact"/>
        <w:rPr>
          <w:rFonts w:ascii="微軟正黑體" w:eastAsia="微軟正黑體" w:hAnsi="微軟正黑體"/>
          <w:sz w:val="28"/>
          <w:szCs w:val="28"/>
        </w:rPr>
      </w:pPr>
    </w:p>
    <w:p w:rsidR="00686683" w:rsidRPr="00F901FA" w:rsidRDefault="00686683" w:rsidP="00686683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</w:rPr>
      </w:pPr>
      <w:r w:rsidRPr="00F901FA">
        <w:rPr>
          <w:rFonts w:ascii="微軟正黑體" w:eastAsia="微軟正黑體" w:hAnsi="微軟正黑體" w:hint="eastAsia"/>
          <w:b/>
          <w:sz w:val="28"/>
          <w:szCs w:val="28"/>
        </w:rPr>
        <w:t>疫苗接種原則</w:t>
      </w:r>
    </w:p>
    <w:p w:rsidR="00686683" w:rsidRPr="00F901FA" w:rsidRDefault="00686683" w:rsidP="00686683">
      <w:pPr>
        <w:pStyle w:val="Default"/>
        <w:numPr>
          <w:ilvl w:val="0"/>
          <w:numId w:val="2"/>
        </w:numPr>
        <w:ind w:left="851" w:hanging="28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432C13">
        <w:rPr>
          <w:rFonts w:ascii="微軟正黑體" w:eastAsia="微軟正黑體" w:hAnsi="微軟正黑體" w:cs="Times New Roman"/>
          <w:color w:val="FF0000"/>
          <w:sz w:val="28"/>
          <w:szCs w:val="28"/>
        </w:rPr>
        <w:t>從未接種</w:t>
      </w:r>
      <w:r w:rsidRPr="00F901FA">
        <w:rPr>
          <w:rFonts w:ascii="微軟正黑體" w:eastAsia="微軟正黑體" w:hAnsi="微軟正黑體" w:cs="Times New Roman"/>
          <w:sz w:val="28"/>
          <w:szCs w:val="28"/>
        </w:rPr>
        <w:t>肺炎鏈球菌疫苗</w:t>
      </w:r>
      <w:r w:rsidR="00432C13">
        <w:rPr>
          <w:rFonts w:ascii="微軟正黑體" w:eastAsia="微軟正黑體" w:hAnsi="微軟正黑體" w:cs="Times New Roman" w:hint="eastAsia"/>
          <w:sz w:val="28"/>
          <w:szCs w:val="28"/>
        </w:rPr>
        <w:t>之</w:t>
      </w:r>
      <w:r w:rsidR="00432C13" w:rsidRPr="00F901FA">
        <w:rPr>
          <w:rFonts w:ascii="微軟正黑體" w:eastAsia="微軟正黑體" w:hAnsi="微軟正黑體" w:cs="Times New Roman"/>
          <w:sz w:val="28"/>
          <w:szCs w:val="28"/>
        </w:rPr>
        <w:t>75歲以上</w:t>
      </w:r>
      <w:r w:rsidR="00432C13">
        <w:rPr>
          <w:rFonts w:ascii="微軟正黑體" w:eastAsia="微軟正黑體" w:hAnsi="微軟正黑體" w:cs="Times New Roman" w:hint="eastAsia"/>
          <w:sz w:val="28"/>
          <w:szCs w:val="28"/>
        </w:rPr>
        <w:t>長</w:t>
      </w:r>
      <w:r w:rsidRPr="00F901FA">
        <w:rPr>
          <w:rFonts w:ascii="微軟正黑體" w:eastAsia="微軟正黑體" w:hAnsi="微軟正黑體" w:cs="Times New Roman"/>
          <w:sz w:val="28"/>
          <w:szCs w:val="28"/>
        </w:rPr>
        <w:t>者，公費提供1劑PPV。</w:t>
      </w:r>
    </w:p>
    <w:p w:rsidR="00686683" w:rsidRPr="00F901FA" w:rsidRDefault="00432C13" w:rsidP="00686683">
      <w:pPr>
        <w:pStyle w:val="Default"/>
        <w:numPr>
          <w:ilvl w:val="0"/>
          <w:numId w:val="2"/>
        </w:numPr>
        <w:ind w:left="851" w:hanging="28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432C13">
        <w:rPr>
          <w:rFonts w:ascii="微軟正黑體" w:eastAsia="微軟正黑體" w:hAnsi="微軟正黑體" w:cs="Times New Roman"/>
          <w:color w:val="FF0000"/>
          <w:sz w:val="28"/>
          <w:szCs w:val="28"/>
        </w:rPr>
        <w:t>曾經接種</w:t>
      </w:r>
      <w:r w:rsidR="00686683" w:rsidRPr="00F901FA">
        <w:rPr>
          <w:rFonts w:ascii="微軟正黑體" w:eastAsia="微軟正黑體" w:hAnsi="微軟正黑體" w:cs="Times New Roman"/>
          <w:sz w:val="28"/>
          <w:szCs w:val="28"/>
        </w:rPr>
        <w:t>肺炎鏈球菌疫苗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之</w:t>
      </w:r>
      <w:r w:rsidRPr="00F901FA">
        <w:rPr>
          <w:rFonts w:ascii="微軟正黑體" w:eastAsia="微軟正黑體" w:hAnsi="微軟正黑體" w:cs="Times New Roman"/>
          <w:sz w:val="28"/>
          <w:szCs w:val="28"/>
        </w:rPr>
        <w:t>75歲以上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長</w:t>
      </w:r>
      <w:r w:rsidR="00686683" w:rsidRPr="00F901FA">
        <w:rPr>
          <w:rFonts w:ascii="微軟正黑體" w:eastAsia="微軟正黑體" w:hAnsi="微軟正黑體" w:cs="Times New Roman"/>
          <w:sz w:val="28"/>
          <w:szCs w:val="28"/>
        </w:rPr>
        <w:t>者，依下列原則接種：</w:t>
      </w:r>
    </w:p>
    <w:p w:rsidR="00686683" w:rsidRPr="00F901FA" w:rsidRDefault="00686683" w:rsidP="00686683">
      <w:pPr>
        <w:pStyle w:val="Default"/>
        <w:numPr>
          <w:ilvl w:val="0"/>
          <w:numId w:val="3"/>
        </w:numPr>
        <w:spacing w:after="52"/>
        <w:ind w:left="1134" w:hanging="283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901FA">
        <w:rPr>
          <w:rFonts w:ascii="微軟正黑體" w:eastAsia="微軟正黑體" w:hAnsi="微軟正黑體" w:cs="Times New Roman"/>
          <w:sz w:val="28"/>
          <w:szCs w:val="28"/>
        </w:rPr>
        <w:t>65歲以後曾接種PPV者，無需再接種PPV。</w:t>
      </w:r>
    </w:p>
    <w:p w:rsidR="00686683" w:rsidRPr="00F901FA" w:rsidRDefault="00686683" w:rsidP="00686683">
      <w:pPr>
        <w:pStyle w:val="Default"/>
        <w:numPr>
          <w:ilvl w:val="0"/>
          <w:numId w:val="3"/>
        </w:numPr>
        <w:spacing w:after="52"/>
        <w:ind w:left="1134" w:hanging="283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901FA">
        <w:rPr>
          <w:rFonts w:ascii="微軟正黑體" w:eastAsia="微軟正黑體" w:hAnsi="微軟正黑體" w:cs="Times New Roman"/>
          <w:sz w:val="28"/>
          <w:szCs w:val="28"/>
        </w:rPr>
        <w:t>65歲以前曾接種PPV者，可經醫師評估再接種1劑PPV。</w:t>
      </w:r>
    </w:p>
    <w:p w:rsidR="00686683" w:rsidRPr="00F901FA" w:rsidRDefault="00686683" w:rsidP="00686683">
      <w:pPr>
        <w:pStyle w:val="Default"/>
        <w:numPr>
          <w:ilvl w:val="0"/>
          <w:numId w:val="3"/>
        </w:numPr>
        <w:spacing w:after="52"/>
        <w:ind w:left="1134" w:hanging="283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901FA">
        <w:rPr>
          <w:rFonts w:ascii="微軟正黑體" w:eastAsia="微軟正黑體" w:hAnsi="微軟正黑體" w:cs="Times New Roman"/>
          <w:sz w:val="28"/>
          <w:szCs w:val="28"/>
        </w:rPr>
        <w:t>曾接種13價結合型肺炎鏈球菌疫苗(PCV13)且65 歲以後從未接種PPV者，間隔1年以上，可經醫師</w:t>
      </w:r>
      <w:bookmarkStart w:id="0" w:name="_GoBack"/>
      <w:bookmarkEnd w:id="0"/>
      <w:r w:rsidRPr="00F901FA">
        <w:rPr>
          <w:rFonts w:ascii="微軟正黑體" w:eastAsia="微軟正黑體" w:hAnsi="微軟正黑體" w:cs="Times New Roman"/>
          <w:sz w:val="28"/>
          <w:szCs w:val="28"/>
        </w:rPr>
        <w:t>評估再接種1劑PPV。</w:t>
      </w:r>
    </w:p>
    <w:p w:rsidR="00686683" w:rsidRPr="00F901FA" w:rsidRDefault="00686683" w:rsidP="00686683">
      <w:pPr>
        <w:pStyle w:val="Default"/>
        <w:spacing w:line="240" w:lineRule="exact"/>
        <w:rPr>
          <w:rFonts w:ascii="微軟正黑體" w:eastAsia="微軟正黑體" w:hAnsi="微軟正黑體"/>
          <w:sz w:val="28"/>
          <w:szCs w:val="28"/>
        </w:rPr>
      </w:pPr>
    </w:p>
    <w:p w:rsidR="00686683" w:rsidRPr="00F901FA" w:rsidRDefault="00686683" w:rsidP="00686683">
      <w:pPr>
        <w:pStyle w:val="Default"/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</w:rPr>
      </w:pPr>
      <w:r w:rsidRPr="00F901FA">
        <w:rPr>
          <w:rFonts w:ascii="微軟正黑體" w:eastAsia="微軟正黑體" w:hAnsi="微軟正黑體" w:hint="eastAsia"/>
          <w:b/>
          <w:sz w:val="28"/>
          <w:szCs w:val="28"/>
        </w:rPr>
        <w:t>保護效果</w:t>
      </w:r>
    </w:p>
    <w:p w:rsidR="00686683" w:rsidRPr="00F901FA" w:rsidRDefault="00686683" w:rsidP="00686683">
      <w:pPr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901FA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  </w:t>
      </w:r>
      <w:r w:rsidRPr="00F901FA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</w:t>
      </w:r>
      <w:r w:rsidRPr="00F901FA">
        <w:rPr>
          <w:rFonts w:ascii="微軟正黑體" w:eastAsia="微軟正黑體" w:hAnsi="微軟正黑體" w:cs="Times New Roman"/>
          <w:sz w:val="28"/>
          <w:szCs w:val="28"/>
        </w:rPr>
        <w:t>肺炎鏈球菌</w:t>
      </w:r>
      <w:proofErr w:type="gramStart"/>
      <w:r w:rsidRPr="00F901FA">
        <w:rPr>
          <w:rFonts w:ascii="微軟正黑體" w:eastAsia="微軟正黑體" w:hAnsi="微軟正黑體" w:cs="Times New Roman"/>
          <w:sz w:val="28"/>
          <w:szCs w:val="28"/>
        </w:rPr>
        <w:t>多醣體疫苗</w:t>
      </w:r>
      <w:proofErr w:type="gramEnd"/>
      <w:r w:rsidRPr="00F901FA">
        <w:rPr>
          <w:rFonts w:ascii="微軟正黑體" w:eastAsia="微軟正黑體" w:hAnsi="微軟正黑體" w:cs="Times New Roman"/>
          <w:sz w:val="28"/>
          <w:szCs w:val="28"/>
        </w:rPr>
        <w:t>的保護效力與個人的免疫功能有關，在免疫功能正常的一般成人與兩歲以上兒童，對於侵襲性肺炎鏈球菌感染症之保護效力約為50-80%。免疫功能異常病人與老年人，其效果稍差，但還是值得接種。</w:t>
      </w:r>
    </w:p>
    <w:p w:rsidR="00686683" w:rsidRPr="00F901FA" w:rsidRDefault="00686683" w:rsidP="00686683">
      <w:pPr>
        <w:rPr>
          <w:rFonts w:ascii="微軟正黑體" w:eastAsia="微軟正黑體" w:hAnsi="微軟正黑體"/>
          <w:sz w:val="28"/>
          <w:szCs w:val="28"/>
        </w:rPr>
      </w:pPr>
    </w:p>
    <w:p w:rsidR="00686683" w:rsidRDefault="00686683" w:rsidP="00686683">
      <w:pPr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F901FA">
        <w:rPr>
          <w:rFonts w:ascii="微軟正黑體" w:eastAsia="微軟正黑體" w:hAnsi="微軟正黑體" w:cs="Times New Roman"/>
          <w:b/>
          <w:sz w:val="40"/>
          <w:szCs w:val="40"/>
        </w:rPr>
        <w:lastRenderedPageBreak/>
        <w:t>肺炎鏈球菌</w:t>
      </w:r>
      <w:proofErr w:type="gramStart"/>
      <w:r w:rsidRPr="00F901FA">
        <w:rPr>
          <w:rFonts w:ascii="微軟正黑體" w:eastAsia="微軟正黑體" w:hAnsi="微軟正黑體" w:cs="Times New Roman"/>
          <w:b/>
          <w:sz w:val="40"/>
          <w:szCs w:val="40"/>
        </w:rPr>
        <w:t>多醣體疫苗</w:t>
      </w:r>
      <w:proofErr w:type="gramEnd"/>
      <w:r w:rsidRPr="00F901FA">
        <w:rPr>
          <w:rFonts w:ascii="微軟正黑體" w:eastAsia="微軟正黑體" w:hAnsi="微軟正黑體" w:cs="Times New Roman"/>
          <w:b/>
          <w:sz w:val="40"/>
          <w:szCs w:val="40"/>
        </w:rPr>
        <w:t>(PPV)接種須知</w:t>
      </w:r>
    </w:p>
    <w:p w:rsidR="00686683" w:rsidRPr="00F901FA" w:rsidRDefault="00686683" w:rsidP="00686683">
      <w:pPr>
        <w:spacing w:line="2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</w:p>
    <w:p w:rsidR="00686683" w:rsidRPr="00F901FA" w:rsidRDefault="00686683" w:rsidP="0068668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安全性及副作用</w:t>
      </w:r>
    </w:p>
    <w:p w:rsidR="00686683" w:rsidRPr="00F901FA" w:rsidRDefault="00686683" w:rsidP="00686683">
      <w:pPr>
        <w:autoSpaceDE w:val="0"/>
        <w:autoSpaceDN w:val="0"/>
        <w:adjustRightInd w:val="0"/>
        <w:jc w:val="both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    </w:t>
      </w: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肺炎鏈球菌</w:t>
      </w: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多醣體疫苗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是一種相當安全的</w:t>
      </w: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不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活化疫苗，接種後少數的人可能發生注射部位</w:t>
      </w: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疼痛、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紅腫的反應，一般於接種2天內恢復。發燒、倦怠等嚴重副作用則極少發生，接種後如有持續發燒、嚴重過敏反應，如呼吸困難、氣喘、</w:t>
      </w: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眩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昏、心跳加速等不適症狀，應儘速就醫，請醫師做進一步的判斷與處理。</w:t>
      </w:r>
    </w:p>
    <w:p w:rsidR="00686683" w:rsidRPr="00F901FA" w:rsidRDefault="00686683" w:rsidP="00686683">
      <w:pPr>
        <w:autoSpaceDE w:val="0"/>
        <w:autoSpaceDN w:val="0"/>
        <w:adjustRightInd w:val="0"/>
        <w:spacing w:line="240" w:lineRule="exact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</w:p>
    <w:p w:rsidR="00686683" w:rsidRPr="00F901FA" w:rsidRDefault="00686683" w:rsidP="0068668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接種禁忌</w:t>
      </w:r>
    </w:p>
    <w:p w:rsidR="00686683" w:rsidRPr="00F901FA" w:rsidRDefault="00686683" w:rsidP="00686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6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已知對疫苗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任何其他成分過敏或過去注射同種疫苗後曾發生嚴重不良反應者。</w:t>
      </w:r>
    </w:p>
    <w:p w:rsidR="00686683" w:rsidRPr="00F901FA" w:rsidRDefault="00686683" w:rsidP="00686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6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其他經醫師評估不適合接種者。</w:t>
      </w:r>
    </w:p>
    <w:p w:rsidR="00686683" w:rsidRPr="008E37D6" w:rsidRDefault="00686683" w:rsidP="00686683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86683" w:rsidRPr="00F901FA" w:rsidRDefault="00686683" w:rsidP="0068668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20"/>
        <w:ind w:leftChars="0"/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注意事項</w:t>
      </w:r>
    </w:p>
    <w:p w:rsidR="00686683" w:rsidRPr="00F901FA" w:rsidRDefault="00686683" w:rsidP="0068668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50" w:before="120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若有發燒或急性疾病，宜延後接種。</w:t>
      </w:r>
    </w:p>
    <w:p w:rsidR="00686683" w:rsidRPr="00F901FA" w:rsidRDefault="00686683" w:rsidP="0068668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50" w:before="120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本疫苗對2歲以下之嬰幼兒無效，故不宜接種。</w:t>
      </w:r>
    </w:p>
    <w:p w:rsidR="00686683" w:rsidRPr="00F901FA" w:rsidRDefault="00686683" w:rsidP="0068668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50" w:before="120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為預防並即時處理接種後發生率極低的立即型嚴重過敏反應，注射後應於疫苗注射單位觀察至少30分鐘，無任何不適症狀後才離開。</w:t>
      </w:r>
    </w:p>
    <w:p w:rsidR="00686683" w:rsidRPr="00F901FA" w:rsidRDefault="00686683" w:rsidP="0068668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50" w:before="120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接種後如有持續發燒、嚴重過敏反應如呼吸困難、氣喘、</w:t>
      </w: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眩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昏、心跳加速等不適症狀，應儘速就醫，並以電話通報當地衛生局或疾病管制署。</w:t>
      </w:r>
    </w:p>
    <w:p w:rsidR="00686683" w:rsidRPr="00F901FA" w:rsidRDefault="00686683" w:rsidP="0068668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50" w:before="120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完成疫苗接種後，雖可降低肺炎鏈球菌感染的機率，但仍有可能</w:t>
      </w: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罹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患肺炎鏈球菌感染症，民眾還是要注意保健與各種防疫措施，以維護身體健康。</w:t>
      </w:r>
    </w:p>
    <w:p w:rsidR="00686683" w:rsidRPr="00F901FA" w:rsidRDefault="00686683" w:rsidP="0068668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50" w:before="120"/>
        <w:ind w:leftChars="0" w:left="851" w:hanging="371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接種肺炎鏈球菌</w:t>
      </w:r>
      <w:proofErr w:type="gramStart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多醣體疫苗</w:t>
      </w:r>
      <w:proofErr w:type="gramEnd"/>
      <w:r w:rsidRPr="00F901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後48小時內約有小於1％的機率可能有發燒反應，應告知醫師曾接種此項疫苗，以為診斷之參考。接種48小時後仍然持續發燒時，一般醫師會考慮可能另有感染或其他發燒原因。</w:t>
      </w:r>
    </w:p>
    <w:p w:rsidR="00686683" w:rsidRPr="008E37D6" w:rsidRDefault="00686683" w:rsidP="00686683">
      <w:pPr>
        <w:rPr>
          <w:rFonts w:ascii="標楷體" w:eastAsia="標楷體" w:hAnsi="標楷體"/>
        </w:rPr>
      </w:pPr>
    </w:p>
    <w:p w:rsidR="00391C1B" w:rsidRPr="00686683" w:rsidRDefault="00391C1B"/>
    <w:sectPr w:rsidR="00391C1B" w:rsidRPr="00686683" w:rsidSect="00EE6B65">
      <w:pgSz w:w="11904" w:h="17338"/>
      <w:pgMar w:top="1134" w:right="1134" w:bottom="1134" w:left="1134" w:header="720" w:footer="720" w:gutter="0"/>
      <w:paperSrc w:first="25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CE" w:rsidRDefault="007F05CE" w:rsidP="00D12073">
      <w:r>
        <w:separator/>
      </w:r>
    </w:p>
  </w:endnote>
  <w:endnote w:type="continuationSeparator" w:id="0">
    <w:p w:rsidR="007F05CE" w:rsidRDefault="007F05CE" w:rsidP="00D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CE" w:rsidRDefault="007F05CE" w:rsidP="00D12073">
      <w:r>
        <w:separator/>
      </w:r>
    </w:p>
  </w:footnote>
  <w:footnote w:type="continuationSeparator" w:id="0">
    <w:p w:rsidR="007F05CE" w:rsidRDefault="007F05CE" w:rsidP="00D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ECD"/>
    <w:multiLevelType w:val="hybridMultilevel"/>
    <w:tmpl w:val="64B02630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>
    <w:nsid w:val="56D90A6C"/>
    <w:multiLevelType w:val="hybridMultilevel"/>
    <w:tmpl w:val="0EAE66C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1595372"/>
    <w:multiLevelType w:val="hybridMultilevel"/>
    <w:tmpl w:val="2B548DD2"/>
    <w:lvl w:ilvl="0" w:tplc="04090003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">
    <w:nsid w:val="774F5ADB"/>
    <w:multiLevelType w:val="hybridMultilevel"/>
    <w:tmpl w:val="AA9EE70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D144969"/>
    <w:multiLevelType w:val="hybridMultilevel"/>
    <w:tmpl w:val="68168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83"/>
    <w:rsid w:val="00391C1B"/>
    <w:rsid w:val="00432C13"/>
    <w:rsid w:val="00686683"/>
    <w:rsid w:val="007F05CE"/>
    <w:rsid w:val="00D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6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866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20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0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6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866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20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2019-08-23T09:29:00Z</dcterms:created>
  <dcterms:modified xsi:type="dcterms:W3CDTF">2019-08-23T09:44:00Z</dcterms:modified>
</cp:coreProperties>
</file>