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00"/>
        <w:jc w:val="distribute"/>
        <w:rPr>
          <w:rFonts w:ascii="標楷體" w:hAnsi="標楷體" w:eastAsia="標楷體"/>
          <w:sz w:val="40"/>
          <w:szCs w:val="40"/>
        </w:rPr>
      </w:pPr>
      <w:bookmarkStart w:id="0" w:name="__DdeLink__65_635799653"/>
      <w:bookmarkEnd w:id="0"/>
      <w:r>
        <w:rPr>
          <w:rFonts w:ascii="標楷體" w:hAnsi="標楷體" w:eastAsia="標楷體"/>
          <w:sz w:val="40"/>
          <w:szCs w:val="40"/>
        </w:rPr>
        <w:t>嚴重特殊傳染性肺炎員工防疫隔離假薪資費用加倍減除辦法</w:t>
      </w:r>
    </w:p>
    <w:p>
      <w:pPr>
        <w:pStyle w:val="Normal"/>
        <w:spacing w:lineRule="exact" w:line="460"/>
        <w:ind w:left="840" w:right="0" w:hanging="840"/>
        <w:jc w:val="distribute"/>
        <w:rPr>
          <w:rFonts w:ascii="標楷體" w:hAnsi="標楷體" w:eastAsia="標楷體"/>
          <w:sz w:val="28"/>
          <w:szCs w:val="28"/>
        </w:rPr>
      </w:pPr>
      <w:r>
        <w:rPr>
          <w:rFonts w:ascii="標楷體" w:hAnsi="標楷體" w:eastAsia="標楷體"/>
          <w:sz w:val="28"/>
          <w:szCs w:val="28"/>
        </w:rPr>
        <w:t>第一條　　本辦法依嚴重特殊傳染性肺炎防治及紓困振興特別條例（以下簡稱本條例）第四條第三項規定訂定之。</w:t>
      </w:r>
    </w:p>
    <w:p>
      <w:pPr>
        <w:pStyle w:val="Normal"/>
        <w:spacing w:lineRule="exact" w:line="460"/>
        <w:jc w:val="distribute"/>
        <w:rPr>
          <w:rFonts w:ascii="標楷體" w:hAnsi="標楷體" w:eastAsia="標楷體"/>
          <w:sz w:val="28"/>
          <w:szCs w:val="28"/>
        </w:rPr>
      </w:pPr>
      <w:r>
        <w:rPr>
          <w:rFonts w:ascii="標楷體" w:hAnsi="標楷體" w:eastAsia="標楷體"/>
          <w:sz w:val="28"/>
          <w:szCs w:val="28"/>
        </w:rPr>
        <w:t>第二條　　本辦法用詞，定義如下：</w:t>
      </w:r>
    </w:p>
    <w:p>
      <w:pPr>
        <w:pStyle w:val="Normal"/>
        <w:spacing w:lineRule="exact" w:line="460"/>
        <w:jc w:val="distribute"/>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一、請假期間，指符合下列情形之一者：</w:t>
      </w:r>
    </w:p>
    <w:p>
      <w:pPr>
        <w:pStyle w:val="Normal"/>
        <w:spacing w:lineRule="exact" w:line="460"/>
        <w:ind w:left="2408" w:right="0" w:hanging="848"/>
        <w:jc w:val="distribute"/>
        <w:rPr>
          <w:rFonts w:ascii="標楷體" w:hAnsi="標楷體" w:eastAsia="標楷體"/>
          <w:sz w:val="28"/>
          <w:szCs w:val="28"/>
        </w:rPr>
      </w:pPr>
      <w:r>
        <w:rPr>
          <w:rFonts w:ascii="標楷體" w:hAnsi="標楷體" w:eastAsia="標楷體"/>
          <w:sz w:val="28"/>
          <w:szCs w:val="28"/>
        </w:rPr>
        <w:t>（一）員工經各級衛生主管機關認定應接受居家隔離、居家檢疫、集中隔離或集中檢疫而請防疫隔離假之期間。</w:t>
      </w:r>
    </w:p>
    <w:p>
      <w:pPr>
        <w:pStyle w:val="Normal"/>
        <w:spacing w:lineRule="exact" w:line="460"/>
        <w:ind w:left="2408" w:right="0" w:hanging="848"/>
        <w:jc w:val="distribute"/>
        <w:rPr>
          <w:rFonts w:ascii="標楷體" w:hAnsi="標楷體" w:eastAsia="標楷體"/>
          <w:sz w:val="28"/>
          <w:szCs w:val="28"/>
        </w:rPr>
      </w:pPr>
      <w:r>
        <w:rPr>
          <w:rFonts w:ascii="標楷體" w:hAnsi="標楷體" w:eastAsia="標楷體"/>
          <w:sz w:val="28"/>
          <w:szCs w:val="28"/>
        </w:rPr>
        <w:t>（二）員工為照顧生活不能自理之受隔離或檢疫家屬而請防疫隔離假之期間。</w:t>
      </w:r>
    </w:p>
    <w:p>
      <w:pPr>
        <w:pStyle w:val="Normal"/>
        <w:spacing w:lineRule="exact" w:line="460"/>
        <w:ind w:left="2408" w:right="0" w:hanging="848"/>
        <w:jc w:val="distribute"/>
        <w:rPr>
          <w:rFonts w:ascii="標楷體" w:hAnsi="標楷體" w:eastAsia="標楷體"/>
          <w:sz w:val="28"/>
          <w:szCs w:val="28"/>
        </w:rPr>
      </w:pPr>
      <w:r>
        <w:rPr>
          <w:rFonts w:ascii="標楷體" w:hAnsi="標楷體" w:eastAsia="標楷體"/>
          <w:sz w:val="28"/>
          <w:szCs w:val="28"/>
        </w:rPr>
        <w:t>（三）員工依中央流行疫情指揮中心指揮官所為應變處置指示而得請假之期間。</w:t>
      </w:r>
    </w:p>
    <w:p>
      <w:pPr>
        <w:pStyle w:val="Normal"/>
        <w:spacing w:lineRule="exact" w:line="460"/>
        <w:ind w:left="1984" w:right="0" w:hanging="566"/>
        <w:jc w:val="distribute"/>
        <w:rPr>
          <w:rFonts w:ascii="標楷體" w:hAnsi="標楷體" w:eastAsia="標楷體"/>
          <w:sz w:val="28"/>
          <w:szCs w:val="28"/>
        </w:rPr>
      </w:pPr>
      <w:r>
        <w:rPr>
          <w:rFonts w:ascii="標楷體" w:hAnsi="標楷體" w:eastAsia="標楷體"/>
          <w:sz w:val="28"/>
          <w:szCs w:val="28"/>
        </w:rPr>
        <w:t>二、員工：指受機關（構）、事業單位、學校、法人、團體僱用從事工作獲致薪資者。</w:t>
      </w:r>
    </w:p>
    <w:p>
      <w:pPr>
        <w:pStyle w:val="Normal"/>
        <w:spacing w:lineRule="exact" w:line="460"/>
        <w:ind w:left="1984" w:right="0" w:hanging="566"/>
        <w:jc w:val="distribute"/>
        <w:rPr>
          <w:rFonts w:ascii="標楷體" w:hAnsi="標楷體" w:eastAsia="標楷體"/>
          <w:sz w:val="28"/>
          <w:szCs w:val="28"/>
        </w:rPr>
      </w:pPr>
      <w:r>
        <w:rPr>
          <w:rFonts w:ascii="標楷體" w:hAnsi="標楷體" w:eastAsia="標楷體"/>
          <w:sz w:val="28"/>
          <w:szCs w:val="28"/>
        </w:rPr>
        <w:t>三、給付薪資金額：指薪金、俸給、工資及其他因從事工作獲致之經常性給與。但不扣除應付所得稅、保險費及工（公）會會費。</w:t>
      </w:r>
    </w:p>
    <w:p>
      <w:pPr>
        <w:pStyle w:val="Normal"/>
        <w:spacing w:lineRule="exact" w:line="460"/>
        <w:ind w:left="840" w:right="0" w:hanging="840"/>
        <w:jc w:val="distribute"/>
        <w:rPr>
          <w:rFonts w:ascii="標楷體" w:hAnsi="標楷體" w:eastAsia="標楷體"/>
          <w:sz w:val="28"/>
          <w:szCs w:val="28"/>
        </w:rPr>
      </w:pPr>
      <w:r>
        <w:rPr>
          <w:rFonts w:ascii="標楷體" w:hAnsi="標楷體" w:eastAsia="標楷體"/>
          <w:sz w:val="28"/>
          <w:szCs w:val="28"/>
        </w:rPr>
        <w:t>第三條</w:t>
        <w:tab/>
        <w:t>機關（構）、事業單位、學校、法人、團體給付其員工於請假期間之薪資，依下列方式自其當年度所得額中減除：</w:t>
      </w:r>
    </w:p>
    <w:p>
      <w:pPr>
        <w:pStyle w:val="Normal"/>
        <w:spacing w:lineRule="exact" w:line="460"/>
        <w:ind w:left="1984" w:right="0" w:hanging="566"/>
        <w:jc w:val="distribute"/>
        <w:rPr>
          <w:rFonts w:ascii="標楷體" w:hAnsi="標楷體" w:eastAsia="標楷體"/>
          <w:sz w:val="28"/>
          <w:szCs w:val="28"/>
        </w:rPr>
      </w:pPr>
      <w:r>
        <w:rPr>
          <w:rFonts w:ascii="標楷體" w:hAnsi="標楷體" w:eastAsia="標楷體"/>
          <w:sz w:val="28"/>
          <w:szCs w:val="28"/>
        </w:rPr>
        <w:t>一、屬應辦理營利事業所得稅結算、決算或清算申報者，得就其給付薪資金額之百分之二百，自當年度營利事業所得額減除。</w:t>
      </w:r>
    </w:p>
    <w:p>
      <w:pPr>
        <w:pStyle w:val="Normal"/>
        <w:spacing w:lineRule="exact" w:line="460"/>
        <w:ind w:left="1984" w:right="0" w:hanging="566"/>
        <w:jc w:val="distribute"/>
        <w:rPr>
          <w:rFonts w:ascii="標楷體" w:hAnsi="標楷體" w:eastAsia="標楷體"/>
          <w:sz w:val="28"/>
          <w:szCs w:val="28"/>
        </w:rPr>
      </w:pPr>
      <w:r>
        <w:rPr>
          <w:rFonts w:ascii="標楷體" w:hAnsi="標楷體" w:eastAsia="標楷體"/>
          <w:sz w:val="28"/>
          <w:szCs w:val="28"/>
        </w:rPr>
        <w:t>二、屬應辦理綜合所得稅結算申報之執行業務者、私人辦理補習班、幼兒園及養護、療養院（所），得就其給付薪資金額之百分之二百，於核實計算申報當年度執行業務所得或其他所得中減除。</w:t>
      </w:r>
    </w:p>
    <w:p>
      <w:pPr>
        <w:pStyle w:val="Normal"/>
        <w:spacing w:lineRule="exact" w:line="460"/>
        <w:ind w:left="840" w:right="0" w:hanging="840"/>
        <w:jc w:val="distribute"/>
        <w:rPr>
          <w:rFonts w:ascii="標楷體" w:hAnsi="標楷體" w:eastAsia="標楷體"/>
          <w:sz w:val="28"/>
          <w:szCs w:val="28"/>
        </w:rPr>
      </w:pPr>
      <w:r>
        <w:rPr>
          <w:rFonts w:ascii="標楷體" w:hAnsi="標楷體" w:eastAsia="標楷體"/>
          <w:sz w:val="28"/>
          <w:szCs w:val="28"/>
        </w:rPr>
        <w:t>第四條   適用本條例第四條第一項規定之機關（構）、事業單位、學校、法人、團體，給付其員工請假期間之薪資金額，應減除政府補助款部分，且以稅捐稽徵機關核定數為準。</w:t>
      </w:r>
    </w:p>
    <w:p>
      <w:pPr>
        <w:pStyle w:val="Normal"/>
        <w:spacing w:lineRule="exact" w:line="460"/>
        <w:ind w:left="840" w:right="0" w:hanging="840"/>
        <w:jc w:val="distribute"/>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機關（構）、事業單位、學校、法人、團體給付前項之薪資金額，如已適用其他法律規定之租稅優惠，不得重複適用本辦法之規定。</w:t>
      </w:r>
    </w:p>
    <w:p>
      <w:pPr>
        <w:pStyle w:val="Normal"/>
        <w:spacing w:lineRule="exact" w:line="460"/>
        <w:ind w:left="840" w:right="0" w:hanging="840"/>
        <w:jc w:val="distribute"/>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機關（構）、事業單位、學校、法人、團體依本辦法規定得減除之金額，以減除當年度依所得稅法第十四條第一項第二類、第十類或第二十四條規定計算之所得額至零為限；依前開所得稅法規定計算所得額已為負數者，不得依本辦法規定適用加倍減除。</w:t>
      </w:r>
    </w:p>
    <w:p>
      <w:pPr>
        <w:pStyle w:val="Normal"/>
        <w:spacing w:lineRule="exact" w:line="460"/>
        <w:ind w:left="840" w:right="0" w:hanging="840"/>
        <w:jc w:val="distribute"/>
        <w:rPr>
          <w:rFonts w:ascii="標楷體" w:hAnsi="標楷體" w:eastAsia="標楷體"/>
          <w:sz w:val="28"/>
          <w:szCs w:val="28"/>
        </w:rPr>
      </w:pPr>
      <w:r>
        <w:rPr>
          <w:rFonts w:ascii="標楷體" w:hAnsi="標楷體" w:eastAsia="標楷體"/>
          <w:sz w:val="28"/>
          <w:szCs w:val="28"/>
        </w:rPr>
        <w:t>第五條　　申請適用本條例第四條第一項規定之機關（構）、事業單位、學校、法人、團體，應於辦理當年度所得稅結算、決算或清算申報時，依規定格式填報，並檢附薪資金額證明、依前條規定計算之明細表及下列文件：</w:t>
      </w:r>
    </w:p>
    <w:p>
      <w:pPr>
        <w:pStyle w:val="Normal"/>
        <w:spacing w:lineRule="exact" w:line="460"/>
        <w:ind w:left="1982" w:right="0" w:hanging="566"/>
        <w:jc w:val="distribute"/>
        <w:rPr>
          <w:rFonts w:ascii="標楷體" w:hAnsi="標楷體" w:eastAsia="標楷體"/>
          <w:sz w:val="28"/>
          <w:szCs w:val="28"/>
        </w:rPr>
      </w:pPr>
      <w:r>
        <w:rPr>
          <w:rFonts w:ascii="標楷體" w:hAnsi="標楷體" w:eastAsia="標楷體"/>
          <w:sz w:val="28"/>
          <w:szCs w:val="28"/>
        </w:rPr>
        <w:t>一、員工因居家隔離、居家檢疫、集中隔離或集中檢疫而請防疫隔離假者：</w:t>
      </w:r>
    </w:p>
    <w:p>
      <w:pPr>
        <w:pStyle w:val="Normal"/>
        <w:spacing w:lineRule="exact" w:line="460"/>
        <w:ind w:left="2550" w:right="0" w:hanging="2408"/>
        <w:jc w:val="distribute"/>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（一）員工請防疫隔離假之假單、請假紀錄或其他證明文件。</w:t>
      </w:r>
    </w:p>
    <w:p>
      <w:pPr>
        <w:pStyle w:val="Normal"/>
        <w:spacing w:lineRule="exact" w:line="460"/>
        <w:ind w:left="2550" w:right="0" w:hanging="851"/>
        <w:jc w:val="distribute"/>
        <w:rPr>
          <w:rFonts w:ascii="標楷體" w:hAnsi="標楷體" w:eastAsia="標楷體"/>
          <w:sz w:val="28"/>
          <w:szCs w:val="28"/>
        </w:rPr>
      </w:pPr>
      <w:r>
        <w:rPr>
          <w:rFonts w:ascii="標楷體" w:hAnsi="標楷體" w:eastAsia="標楷體"/>
          <w:sz w:val="28"/>
          <w:szCs w:val="28"/>
        </w:rPr>
        <w:t>（二）各級衛生主管機關開立之居家隔離通知書、居家檢疫通知書、集中隔離證明、集中檢疫證明或其他證明文件。</w:t>
      </w:r>
    </w:p>
    <w:p>
      <w:pPr>
        <w:pStyle w:val="Normal"/>
        <w:spacing w:lineRule="exact" w:line="460"/>
        <w:ind w:left="1984" w:right="0" w:hanging="566"/>
        <w:jc w:val="distribute"/>
        <w:rPr>
          <w:rFonts w:ascii="標楷體" w:hAnsi="標楷體" w:eastAsia="標楷體"/>
          <w:sz w:val="28"/>
          <w:szCs w:val="28"/>
        </w:rPr>
      </w:pPr>
      <w:r>
        <w:rPr>
          <w:rFonts w:ascii="標楷體" w:hAnsi="標楷體" w:eastAsia="標楷體"/>
          <w:sz w:val="28"/>
          <w:szCs w:val="28"/>
        </w:rPr>
        <w:t>二、員工為照顧生活不能自理之受隔離、檢疫家屬而請防疫隔離假者：</w:t>
      </w:r>
    </w:p>
    <w:p>
      <w:pPr>
        <w:pStyle w:val="Normal"/>
        <w:spacing w:lineRule="exact" w:line="460"/>
        <w:ind w:left="2550" w:right="0" w:hanging="851"/>
        <w:jc w:val="distribute"/>
        <w:rPr>
          <w:rFonts w:ascii="標楷體" w:hAnsi="標楷體" w:eastAsia="標楷體"/>
          <w:sz w:val="28"/>
          <w:szCs w:val="28"/>
        </w:rPr>
      </w:pPr>
      <w:r>
        <w:rPr>
          <w:rFonts w:ascii="標楷體" w:hAnsi="標楷體" w:eastAsia="標楷體"/>
          <w:sz w:val="28"/>
          <w:szCs w:val="28"/>
        </w:rPr>
        <w:t>（一）員工請防疫隔離假之假單、請假紀錄或其他證明文件。</w:t>
      </w:r>
    </w:p>
    <w:p>
      <w:pPr>
        <w:pStyle w:val="Normal"/>
        <w:spacing w:lineRule="exact" w:line="460"/>
        <w:ind w:left="2550" w:right="0" w:hanging="851"/>
        <w:jc w:val="distribute"/>
        <w:rPr>
          <w:rFonts w:ascii="標楷體" w:hAnsi="標楷體" w:eastAsia="標楷體"/>
          <w:sz w:val="28"/>
          <w:szCs w:val="28"/>
        </w:rPr>
      </w:pPr>
      <w:r>
        <w:rPr>
          <w:rFonts w:ascii="標楷體" w:hAnsi="標楷體" w:eastAsia="標楷體"/>
          <w:sz w:val="28"/>
          <w:szCs w:val="28"/>
        </w:rPr>
        <w:t>（二）受照顧者符合前款第二目規定之受隔離或檢疫證明文件。</w:t>
      </w:r>
    </w:p>
    <w:p>
      <w:pPr>
        <w:pStyle w:val="Normal"/>
        <w:spacing w:lineRule="exact" w:line="460"/>
        <w:ind w:left="1984" w:right="0" w:hanging="566"/>
        <w:jc w:val="distribute"/>
        <w:rPr>
          <w:rFonts w:ascii="標楷體" w:hAnsi="標楷體" w:eastAsia="標楷體"/>
          <w:sz w:val="28"/>
          <w:szCs w:val="28"/>
        </w:rPr>
      </w:pPr>
      <w:r>
        <w:rPr>
          <w:rFonts w:ascii="標楷體" w:hAnsi="標楷體" w:eastAsia="標楷體"/>
          <w:sz w:val="28"/>
          <w:szCs w:val="28"/>
        </w:rPr>
        <w:t>三、員工依中央流行疫情指揮中心指揮官所為應變處置指示而得請假者：</w:t>
      </w:r>
    </w:p>
    <w:p>
      <w:pPr>
        <w:pStyle w:val="Normal"/>
        <w:spacing w:lineRule="exact" w:line="460"/>
        <w:ind w:left="0" w:right="0" w:firstLine="1700"/>
        <w:jc w:val="distribute"/>
        <w:rPr>
          <w:rFonts w:ascii="標楷體" w:hAnsi="標楷體" w:eastAsia="標楷體"/>
          <w:sz w:val="28"/>
          <w:szCs w:val="28"/>
        </w:rPr>
      </w:pPr>
      <w:r>
        <w:rPr>
          <w:rFonts w:ascii="標楷體" w:hAnsi="標楷體" w:eastAsia="標楷體"/>
          <w:sz w:val="28"/>
          <w:szCs w:val="28"/>
        </w:rPr>
        <w:t>（一）員工請假單、請假紀錄或其他證明文件。</w:t>
      </w:r>
    </w:p>
    <w:p>
      <w:pPr>
        <w:pStyle w:val="Normal"/>
        <w:spacing w:lineRule="exact" w:line="460"/>
        <w:ind w:left="2550" w:right="0" w:hanging="851"/>
        <w:jc w:val="distribute"/>
        <w:rPr>
          <w:rFonts w:ascii="標楷體" w:hAnsi="標楷體" w:eastAsia="標楷體"/>
          <w:sz w:val="28"/>
          <w:szCs w:val="28"/>
        </w:rPr>
      </w:pPr>
      <w:r>
        <w:rPr>
          <w:rFonts w:ascii="標楷體" w:hAnsi="標楷體" w:eastAsia="標楷體"/>
          <w:sz w:val="28"/>
          <w:szCs w:val="28"/>
        </w:rPr>
        <w:t>（二）符合依中央流行疫情指揮中心指揮官所為應變處置指示而得請假之證明文件。</w:t>
      </w:r>
    </w:p>
    <w:p>
      <w:pPr>
        <w:pStyle w:val="Normal"/>
        <w:spacing w:lineRule="exact" w:line="460"/>
        <w:ind w:left="0" w:right="0" w:firstLine="1400"/>
        <w:jc w:val="distribute"/>
        <w:rPr>
          <w:rFonts w:ascii="標楷體" w:hAnsi="標楷體" w:eastAsia="標楷體"/>
          <w:sz w:val="28"/>
          <w:szCs w:val="28"/>
        </w:rPr>
      </w:pPr>
      <w:r>
        <w:rPr>
          <w:rFonts w:ascii="標楷體" w:hAnsi="標楷體" w:eastAsia="標楷體"/>
          <w:sz w:val="28"/>
          <w:szCs w:val="28"/>
        </w:rPr>
        <w:t>前項申報表格之格式，由財政部定之。</w:t>
      </w:r>
    </w:p>
    <w:p>
      <w:pPr>
        <w:pStyle w:val="Normal"/>
        <w:spacing w:lineRule="exact" w:line="460"/>
        <w:ind w:left="960" w:right="0" w:firstLine="560"/>
        <w:jc w:val="distribute"/>
        <w:rPr>
          <w:rFonts w:ascii="標楷體" w:hAnsi="標楷體" w:eastAsia="標楷體"/>
          <w:sz w:val="28"/>
          <w:szCs w:val="28"/>
        </w:rPr>
      </w:pPr>
      <w:r>
        <w:rPr>
          <w:rFonts w:ascii="標楷體" w:hAnsi="標楷體" w:eastAsia="標楷體"/>
          <w:sz w:val="28"/>
          <w:szCs w:val="28"/>
        </w:rPr>
        <w:t>機關（構）、事業單位、學校、法人、團體依第一項規定填報之資料有疏漏，經稅捐稽徵機關通知補正，屆期未補正者，稅捐稽徵機關應不予受理。</w:t>
      </w:r>
    </w:p>
    <w:p>
      <w:pPr>
        <w:pStyle w:val="Normal"/>
        <w:spacing w:lineRule="exact" w:line="460"/>
        <w:ind w:left="840" w:right="0" w:hanging="840"/>
        <w:jc w:val="distribute"/>
        <w:rPr>
          <w:rFonts w:ascii="標楷體" w:hAnsi="標楷體" w:eastAsia="標楷體"/>
          <w:sz w:val="28"/>
          <w:szCs w:val="28"/>
        </w:rPr>
      </w:pPr>
      <w:r>
        <w:rPr>
          <w:rFonts w:ascii="標楷體" w:hAnsi="標楷體" w:eastAsia="標楷體"/>
          <w:sz w:val="28"/>
          <w:szCs w:val="28"/>
        </w:rPr>
        <w:t>第六條　　依本辦法規定申請加倍減除之薪資金額，經稅捐稽徵機關查明有虛報情事者，依所得稅法第一百十條有關短漏報稅額規定及依稅捐稽徵法第四十八條第一項有關停止並追回其享受獎勵待遇之規定處理。</w:t>
      </w:r>
    </w:p>
    <w:p>
      <w:pPr>
        <w:pStyle w:val="Normal"/>
        <w:spacing w:lineRule="exact" w:line="460"/>
        <w:jc w:val="distribute"/>
        <w:rPr/>
      </w:pPr>
      <w:r>
        <w:rPr>
          <w:rStyle w:val="Style14"/>
          <w:rFonts w:ascii="標楷體" w:hAnsi="標楷體" w:eastAsia="標楷體"/>
          <w:sz w:val="28"/>
          <w:szCs w:val="28"/>
        </w:rPr>
        <w:t>第七條　　本辦法自中華民國一百零九年一月十五日施行。</w:t>
      </w:r>
    </w:p>
    <w:sectPr>
      <w:type w:val="nextPage"/>
      <w:pgSz w:w="11906" w:h="16838"/>
      <w:pgMar w:left="1701" w:right="1418" w:header="0" w:top="1418" w:footer="0" w:bottom="141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Times New Roman">
    <w:charset w:val="88"/>
    <w:family w:val="roman"/>
    <w:pitch w:val="variable"/>
  </w:font>
  <w:font w:name="標楷體">
    <w:charset w:val="88"/>
    <w:family w:val="script"/>
    <w:pitch w:val="fixed"/>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sz w:val="24"/>
        <w:szCs w:val="22"/>
        <w:lang w:val="en-US" w:eastAsia="zh-TW" w:bidi="ar-SA"/>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註解方塊文字 字元"/>
    <w:basedOn w:val="Style14"/>
    <w:qFormat/>
    <w:rPr>
      <w:rFonts w:ascii="Cambria" w:hAnsi="Cambria" w:eastAsia="新細明體" w:cs="Tahoma"/>
      <w:sz w:val="18"/>
      <w:szCs w:val="18"/>
    </w:rPr>
  </w:style>
  <w:style w:type="character" w:styleId="ListLabel1">
    <w:name w:val="ListLabel 1"/>
    <w:qFormat/>
    <w:rPr>
      <w:rFonts w:eastAsia="標楷體"/>
      <w:sz w:val="28"/>
    </w:rPr>
  </w:style>
  <w:style w:type="character" w:styleId="ListLabel2">
    <w:name w:val="ListLabel 2"/>
    <w:qFormat/>
    <w:rPr>
      <w:color w:val="00000A"/>
      <w:sz w:val="28"/>
    </w:rPr>
  </w:style>
  <w:style w:type="character" w:styleId="ListLabel3">
    <w:name w:val="ListLabel 3"/>
    <w:qFormat/>
    <w:rPr>
      <w:lang w:val="en-US"/>
    </w:rPr>
  </w:style>
  <w:style w:type="character" w:styleId="ListLabel4">
    <w:name w:val="ListLabel 4"/>
    <w:qFormat/>
    <w:rPr>
      <w:color w:val="00000A"/>
      <w:sz w:val="28"/>
    </w:rPr>
  </w:style>
  <w:style w:type="character" w:styleId="ListLabel5">
    <w:name w:val="ListLabel 5"/>
    <w:qFormat/>
    <w:rPr>
      <w:rFonts w:ascii="Times New Roman" w:hAnsi="Times New Roman" w:eastAsia="Times New Roman" w:cs="Times New Roman"/>
      <w:sz w:val="28"/>
      <w:lang w:val="en-US"/>
    </w:rPr>
  </w:style>
  <w:style w:type="character" w:styleId="WWCharLFO2LVL1">
    <w:name w:val="WW_CharLFO2LVL1"/>
    <w:qFormat/>
    <w:rPr>
      <w:rFonts w:eastAsia="標楷體"/>
      <w:sz w:val="28"/>
    </w:rPr>
  </w:style>
  <w:style w:type="character" w:styleId="WWCharLFO3LVL1">
    <w:name w:val="WW_CharLFO3LVL1"/>
    <w:qFormat/>
    <w:rPr>
      <w:color w:val="00000A"/>
      <w:sz w:val="28"/>
    </w:rPr>
  </w:style>
  <w:style w:type="character" w:styleId="WWCharLFO4LVL1">
    <w:name w:val="WW_CharLFO4LVL1"/>
    <w:qFormat/>
    <w:rPr>
      <w:lang w:val="en-US"/>
    </w:rPr>
  </w:style>
  <w:style w:type="character" w:styleId="WWCharLFO5LVL1">
    <w:name w:val="WW_CharLFO5LVL1"/>
    <w:qFormat/>
    <w:rPr>
      <w:color w:val="00000A"/>
      <w:sz w:val="28"/>
    </w:rPr>
  </w:style>
  <w:style w:type="character" w:styleId="WWCharLFO7LVL1">
    <w:name w:val="WW_CharLFO7LVL1"/>
    <w:qFormat/>
    <w:rPr>
      <w:rFonts w:ascii="Times New Roman" w:hAnsi="Times New Roman"/>
      <w:sz w:val="28"/>
      <w:lang w:val="en-US"/>
    </w:rPr>
  </w:style>
  <w:style w:type="paragraph" w:styleId="Style18">
    <w:name w:val="Body Text"/>
    <w:basedOn w:val="Normal"/>
    <w:pPr>
      <w:suppressAutoHyphens w:val="true"/>
      <w:spacing w:lineRule="auto" w:line="288" w:before="0" w:after="140"/>
    </w:pPr>
    <w:rPr/>
  </w:style>
  <w:style w:type="paragraph" w:styleId="Style19">
    <w:name w:val="標題"/>
    <w:basedOn w:val="Normal"/>
    <w:next w:val="Style18"/>
    <w:qFormat/>
    <w:pPr>
      <w:keepNext/>
      <w:suppressAutoHyphens w:val="true"/>
      <w:spacing w:before="240" w:after="120"/>
    </w:pPr>
    <w:rPr>
      <w:rFonts w:ascii="Times New Roman" w:hAnsi="Times New Roman" w:eastAsia="標楷體" w:cs="Lucida Sans"/>
      <w:sz w:val="32"/>
      <w:szCs w:val="28"/>
    </w:rPr>
  </w:style>
  <w:style w:type="paragraph" w:styleId="Style20">
    <w:name w:val="List"/>
    <w:basedOn w:val="Style18"/>
    <w:pPr>
      <w:suppressAutoHyphens w:val="true"/>
    </w:pPr>
    <w:rPr>
      <w:rFonts w:ascii="Times New Roman" w:hAnsi="Times New Roman" w:eastAsia="標楷體" w:cs="Lucida Sans"/>
    </w:rPr>
  </w:style>
  <w:style w:type="paragraph" w:styleId="Style21">
    <w:name w:val="標號"/>
    <w:basedOn w:val="Normal"/>
    <w:qFormat/>
    <w:pPr>
      <w:suppressLineNumbers/>
      <w:suppressAutoHyphens w:val="true"/>
      <w:spacing w:before="120" w:after="120"/>
    </w:pPr>
    <w:rPr>
      <w:rFonts w:ascii="Times New Roman" w:hAnsi="Times New Roman" w:eastAsia="標楷體" w:cs="Lucida Sans"/>
      <w:i/>
      <w:iCs/>
      <w:szCs w:val="24"/>
    </w:rPr>
  </w:style>
  <w:style w:type="paragraph" w:styleId="Style22">
    <w:name w:val="索引"/>
    <w:basedOn w:val="Normal"/>
    <w:qFormat/>
    <w:pPr>
      <w:suppressLineNumbers/>
      <w:suppressAutoHyphens w:val="true"/>
    </w:pPr>
    <w:rPr>
      <w:rFonts w:ascii="Times New Roman" w:hAnsi="Times New Roman" w:eastAsia="標楷體" w:cs="Lucida Sans"/>
    </w:rPr>
  </w:style>
  <w:style w:type="paragraph" w:styleId="Style23">
    <w:name w:val="清單段落"/>
    <w:basedOn w:val="Normal"/>
    <w:qFormat/>
    <w:pPr>
      <w:suppressAutoHyphens w:val="true"/>
      <w:ind w:left="480" w:right="0" w:hanging="0"/>
    </w:pPr>
    <w:rPr>
      <w:rFonts w:ascii="Times New Roman" w:hAnsi="Times New Roman" w:eastAsia="標楷體" w:cs="Times New Roman"/>
      <w:sz w:val="28"/>
    </w:rPr>
  </w:style>
  <w:style w:type="paragraph" w:styleId="Style24">
    <w:name w:val="Header"/>
    <w:basedOn w:val="Normal"/>
    <w:pPr>
      <w:tabs>
        <w:tab w:val="center" w:pos="4153" w:leader="none"/>
        <w:tab w:val="right" w:pos="8306" w:leader="none"/>
      </w:tabs>
      <w:suppressAutoHyphens w:val="true"/>
      <w:snapToGrid w:val="false"/>
    </w:pPr>
    <w:rPr>
      <w:sz w:val="20"/>
      <w:szCs w:val="20"/>
    </w:rPr>
  </w:style>
  <w:style w:type="paragraph" w:styleId="Style25">
    <w:name w:val="Footer"/>
    <w:basedOn w:val="Normal"/>
    <w:pPr>
      <w:tabs>
        <w:tab w:val="center" w:pos="4153" w:leader="none"/>
        <w:tab w:val="right" w:pos="8306" w:leader="none"/>
      </w:tabs>
      <w:suppressAutoHyphens w:val="true"/>
      <w:snapToGrid w:val="false"/>
    </w:pPr>
    <w:rPr>
      <w:sz w:val="20"/>
      <w:szCs w:val="20"/>
    </w:rPr>
  </w:style>
  <w:style w:type="paragraph" w:styleId="Style26">
    <w:name w:val="註解方塊文字"/>
    <w:basedOn w:val="Normal"/>
    <w:qFormat/>
    <w:pPr>
      <w:suppressAutoHyphens w:val="true"/>
    </w:pPr>
    <w:rPr>
      <w:rFonts w:ascii="Cambria" w:hAnsi="Cambria"/>
      <w:sz w:val="18"/>
      <w:szCs w:val="18"/>
    </w:rPr>
  </w:style>
  <w:style w:type="paragraph" w:styleId="Style27">
    <w:name w:val="表格內容"/>
    <w:basedOn w:val="Normal"/>
    <w:qFormat/>
    <w:pPr>
      <w:suppressAutoHyphens w:val="true"/>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NDC_ODF_Application_Tools/1.0.3$Windows_X86_64 LibreOffice_project/8ad3e16aadc5e73175a2d44b1abec8638aa18880</Application>
  <Pages>3</Pages>
  <Words>1338</Words>
  <Characters>1338</Characters>
  <CharactersWithSpaces>1393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2020-03-06T02:02:00Z</dcterms:created>
  <dc:creator>丁文萍</dc:creator>
  <dc:description/>
  <dc:language>zh-TW</dc:language>
  <cp:lastModifiedBy>凌浚兼</cp:lastModifiedBy>
  <cp:lastPrinted>2020-03-05T07:40:00Z</cp:lastPrinted>
  <dcterms:modified xsi:type="dcterms:W3CDTF">2020-03-09T02:36:00Z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