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1" w:rsidRDefault="00DB3C16">
      <w:pPr>
        <w:pStyle w:val="a5"/>
        <w:jc w:val="center"/>
      </w:pPr>
      <w:r>
        <w:rPr>
          <w:sz w:val="32"/>
          <w:szCs w:val="32"/>
        </w:rPr>
        <w:t>雲林</w:t>
      </w:r>
      <w:r>
        <w:rPr>
          <w:sz w:val="32"/>
          <w:szCs w:val="24"/>
        </w:rPr>
        <w:t>縣政府</w:t>
      </w:r>
      <w:r w:rsidR="00C523B2">
        <w:rPr>
          <w:sz w:val="32"/>
          <w:szCs w:val="24"/>
        </w:rPr>
        <w:t>雲林表演廳</w:t>
      </w:r>
    </w:p>
    <w:p w:rsidR="00451631" w:rsidRDefault="00DB3C16">
      <w:pPr>
        <w:pStyle w:val="a5"/>
        <w:jc w:val="center"/>
      </w:pPr>
      <w:r>
        <w:rPr>
          <w:sz w:val="32"/>
          <w:szCs w:val="24"/>
        </w:rPr>
        <w:t>補助團體及個人演出甄選須知 公告</w:t>
      </w:r>
    </w:p>
    <w:p w:rsidR="00451631" w:rsidRDefault="00DB3C16">
      <w:pPr>
        <w:pStyle w:val="a5"/>
        <w:spacing w:after="0" w:line="328" w:lineRule="auto"/>
        <w:ind w:left="1134" w:hanging="1132"/>
      </w:pPr>
      <w:r>
        <w:t>主  旨：公告</w:t>
      </w:r>
      <w:r w:rsidRPr="00874F2F">
        <w:rPr>
          <w:sz w:val="30"/>
          <w:szCs w:val="30"/>
        </w:rPr>
        <w:t>雲林縣政府文化觀光處</w:t>
      </w:r>
      <w:r>
        <w:t>為辦理</w:t>
      </w:r>
      <w:r w:rsidR="00874F2F">
        <w:t xml:space="preserve"> </w:t>
      </w:r>
      <w:r w:rsidRPr="00874F2F">
        <w:rPr>
          <w:sz w:val="30"/>
          <w:szCs w:val="30"/>
        </w:rPr>
        <w:t>雲林縣政府</w:t>
      </w:r>
      <w:r w:rsidR="00C523B2" w:rsidRPr="00874F2F">
        <w:rPr>
          <w:sz w:val="30"/>
          <w:szCs w:val="30"/>
        </w:rPr>
        <w:t>雲林表演廳</w:t>
      </w:r>
      <w:r w:rsidRPr="00874F2F">
        <w:rPr>
          <w:sz w:val="30"/>
          <w:szCs w:val="30"/>
        </w:rPr>
        <w:t>補助團體及個人演出甄選</w:t>
      </w:r>
      <w:bookmarkStart w:id="0" w:name="_Hlk112438421"/>
      <w:r>
        <w:t>補助</w:t>
      </w:r>
      <w:bookmarkEnd w:id="0"/>
      <w:r>
        <w:t xml:space="preserve">，請符合資格之申請人，自111年9月15日起至111年10月25日止提出申請，並依照公告事項相關規定辦理。 </w:t>
      </w:r>
    </w:p>
    <w:p w:rsidR="00451631" w:rsidRDefault="00DB3C16">
      <w:pPr>
        <w:pStyle w:val="a5"/>
      </w:pPr>
      <w:r>
        <w:t>依   據：「雲林縣文化場所使用管理自治條例」</w:t>
      </w:r>
    </w:p>
    <w:p w:rsidR="00451631" w:rsidRDefault="00DB3C16">
      <w:pPr>
        <w:pStyle w:val="a5"/>
        <w:spacing w:after="136"/>
      </w:pPr>
      <w:r>
        <w:t xml:space="preserve">公告事項： </w:t>
      </w:r>
    </w:p>
    <w:p w:rsidR="00451631" w:rsidRDefault="00DB3C16">
      <w:pPr>
        <w:pStyle w:val="a5"/>
        <w:numPr>
          <w:ilvl w:val="0"/>
          <w:numId w:val="1"/>
        </w:numPr>
        <w:ind w:left="0" w:hanging="677"/>
      </w:pPr>
      <w:r>
        <w:t>依照上開規定，</w:t>
      </w:r>
      <w:proofErr w:type="gramStart"/>
      <w:r>
        <w:t>請欲提出</w:t>
      </w:r>
      <w:proofErr w:type="gramEnd"/>
      <w:r>
        <w:t xml:space="preserve">補助申請者，配合下列事項辦理： </w:t>
      </w:r>
    </w:p>
    <w:p w:rsidR="00451631" w:rsidRDefault="00DB3C16">
      <w:pPr>
        <w:pStyle w:val="a5"/>
        <w:numPr>
          <w:ilvl w:val="1"/>
          <w:numId w:val="1"/>
        </w:numPr>
        <w:ind w:left="0" w:hanging="874"/>
      </w:pPr>
      <w:r>
        <w:t xml:space="preserve">申請期間：111年9月15日起至111年10月25日。 </w:t>
      </w:r>
    </w:p>
    <w:p w:rsidR="00451631" w:rsidRDefault="00DB3C16">
      <w:pPr>
        <w:pStyle w:val="a5"/>
        <w:numPr>
          <w:ilvl w:val="1"/>
          <w:numId w:val="1"/>
        </w:numPr>
        <w:spacing w:after="0" w:line="328" w:lineRule="auto"/>
        <w:ind w:left="0" w:hanging="874"/>
      </w:pPr>
      <w:r>
        <w:t>補助項目：依據雲林縣政府</w:t>
      </w:r>
      <w:bookmarkStart w:id="1" w:name="_GoBack"/>
      <w:bookmarkEnd w:id="1"/>
      <w:r w:rsidR="00C523B2">
        <w:t>雲林表演廳</w:t>
      </w:r>
      <w:r>
        <w:t xml:space="preserve">補助團體及個人演出甄選須知第貳條第九項規定辦理)。 </w:t>
      </w:r>
    </w:p>
    <w:p w:rsidR="00451631" w:rsidRDefault="00DB3C16">
      <w:pPr>
        <w:pStyle w:val="a5"/>
        <w:numPr>
          <w:ilvl w:val="1"/>
          <w:numId w:val="1"/>
        </w:numPr>
        <w:spacing w:after="2" w:line="326" w:lineRule="auto"/>
        <w:ind w:left="0" w:hanging="874"/>
      </w:pPr>
      <w:r>
        <w:t>資格條件：符合雲林縣政府</w:t>
      </w:r>
      <w:r w:rsidR="00C523B2">
        <w:t>雲林表演廳</w:t>
      </w:r>
      <w:r>
        <w:t xml:space="preserve">補助團體及個人演出甄選須知第貳條第一項之申請人。 </w:t>
      </w:r>
    </w:p>
    <w:p w:rsidR="00451631" w:rsidRDefault="00DB3C16">
      <w:pPr>
        <w:pStyle w:val="a5"/>
        <w:numPr>
          <w:ilvl w:val="1"/>
          <w:numId w:val="1"/>
        </w:numPr>
        <w:ind w:left="0" w:hanging="874"/>
      </w:pPr>
      <w:r>
        <w:t>審查方式：依據雲林縣政府</w:t>
      </w:r>
      <w:r w:rsidR="00C523B2">
        <w:t>雲林表演廳</w:t>
      </w:r>
      <w:r>
        <w:t>補助團體及個人演出甄選須知第貳條第八項規定辦理)。</w:t>
      </w:r>
    </w:p>
    <w:p w:rsidR="00451631" w:rsidRPr="00286C1C" w:rsidRDefault="00DB3C16" w:rsidP="00874F2F">
      <w:pPr>
        <w:pStyle w:val="a8"/>
        <w:numPr>
          <w:ilvl w:val="1"/>
          <w:numId w:val="1"/>
        </w:numPr>
        <w:ind w:leftChars="-357" w:left="0" w:hangingChars="306" w:hanging="857"/>
        <w:rPr>
          <w:color w:val="auto"/>
        </w:rPr>
      </w:pPr>
      <w:bookmarkStart w:id="2" w:name="_Hlk112440659"/>
      <w:r w:rsidRPr="00286C1C">
        <w:rPr>
          <w:color w:val="auto"/>
        </w:rPr>
        <w:t>補助金額上限</w:t>
      </w:r>
      <w:bookmarkEnd w:id="2"/>
      <w:r w:rsidRPr="00286C1C">
        <w:rPr>
          <w:color w:val="auto"/>
        </w:rPr>
        <w:t>：補助上限80萬元整，未達補助上限者，</w:t>
      </w:r>
      <w:proofErr w:type="gramStart"/>
      <w:r w:rsidRPr="00286C1C">
        <w:rPr>
          <w:color w:val="auto"/>
        </w:rPr>
        <w:t>覈</w:t>
      </w:r>
      <w:proofErr w:type="gramEnd"/>
      <w:r w:rsidRPr="00286C1C">
        <w:rPr>
          <w:color w:val="auto"/>
        </w:rPr>
        <w:t>實補助。</w:t>
      </w:r>
      <w:r w:rsidR="00874F2F" w:rsidRPr="00286C1C">
        <w:rPr>
          <w:rFonts w:hint="eastAsia"/>
          <w:color w:val="auto"/>
        </w:rPr>
        <w:t>(依據雲林縣政府文化觀光處</w:t>
      </w:r>
      <w:proofErr w:type="gramStart"/>
      <w:r w:rsidR="00874F2F" w:rsidRPr="00286C1C">
        <w:rPr>
          <w:rFonts w:hint="eastAsia"/>
          <w:color w:val="auto"/>
        </w:rPr>
        <w:t>112</w:t>
      </w:r>
      <w:proofErr w:type="gramEnd"/>
      <w:r w:rsidR="00874F2F" w:rsidRPr="00286C1C">
        <w:rPr>
          <w:rFonts w:hint="eastAsia"/>
          <w:color w:val="auto"/>
        </w:rPr>
        <w:t>年度歲出計畫預算-文教活動-舉辦藝術活動-獎補助費-對國內團體之捐助項下之年度預算辦理)</w:t>
      </w:r>
    </w:p>
    <w:p w:rsidR="00451631" w:rsidRPr="00286C1C" w:rsidRDefault="00DB3C16">
      <w:pPr>
        <w:pStyle w:val="a5"/>
        <w:numPr>
          <w:ilvl w:val="1"/>
          <w:numId w:val="1"/>
        </w:numPr>
        <w:spacing w:after="2" w:line="326" w:lineRule="auto"/>
        <w:ind w:left="0" w:hanging="874"/>
        <w:rPr>
          <w:color w:val="auto"/>
        </w:rPr>
      </w:pPr>
      <w:bookmarkStart w:id="3" w:name="_Hlk112440914"/>
      <w:r w:rsidRPr="00286C1C">
        <w:rPr>
          <w:color w:val="auto"/>
        </w:rPr>
        <w:t>全案預算金額概估</w:t>
      </w:r>
      <w:bookmarkEnd w:id="3"/>
      <w:r w:rsidRPr="00286C1C">
        <w:rPr>
          <w:color w:val="auto"/>
        </w:rPr>
        <w:t>：</w:t>
      </w:r>
      <w:r w:rsidR="003D69A8" w:rsidRPr="00286C1C">
        <w:rPr>
          <w:color w:val="auto"/>
        </w:rPr>
        <w:t>80</w:t>
      </w:r>
      <w:r w:rsidR="00DB2C29" w:rsidRPr="00286C1C">
        <w:rPr>
          <w:color w:val="auto"/>
        </w:rPr>
        <w:t>萬元整</w:t>
      </w:r>
      <w:r w:rsidRPr="00286C1C">
        <w:rPr>
          <w:color w:val="auto"/>
        </w:rPr>
        <w:t xml:space="preserve">。 </w:t>
      </w:r>
    </w:p>
    <w:p w:rsidR="00451631" w:rsidRDefault="00451631">
      <w:pPr>
        <w:pStyle w:val="a5"/>
        <w:spacing w:after="134"/>
        <w:ind w:left="551" w:firstLine="0"/>
      </w:pPr>
    </w:p>
    <w:p w:rsidR="00451631" w:rsidRDefault="00DB3C16">
      <w:pPr>
        <w:pStyle w:val="a5"/>
        <w:spacing w:after="134"/>
        <w:rPr>
          <w:sz w:val="24"/>
          <w:szCs w:val="20"/>
        </w:rPr>
      </w:pPr>
      <w:r>
        <w:rPr>
          <w:sz w:val="24"/>
          <w:szCs w:val="20"/>
        </w:rPr>
        <w:t>補充說明:</w:t>
      </w:r>
    </w:p>
    <w:p w:rsidR="00451631" w:rsidRDefault="00DB3C16">
      <w:pPr>
        <w:pStyle w:val="a5"/>
        <w:spacing w:after="134"/>
        <w:rPr>
          <w:sz w:val="22"/>
          <w:szCs w:val="18"/>
        </w:rPr>
      </w:pPr>
      <w:r>
        <w:rPr>
          <w:sz w:val="22"/>
          <w:szCs w:val="18"/>
        </w:rPr>
        <w:t>依據法務部111年7月29日</w:t>
      </w:r>
      <w:proofErr w:type="gramStart"/>
      <w:r>
        <w:rPr>
          <w:sz w:val="22"/>
          <w:szCs w:val="18"/>
        </w:rPr>
        <w:t>法廉字</w:t>
      </w:r>
      <w:proofErr w:type="gramEnd"/>
      <w:r>
        <w:rPr>
          <w:sz w:val="22"/>
          <w:szCs w:val="18"/>
        </w:rPr>
        <w:t>第11105003910號來函:</w:t>
      </w:r>
    </w:p>
    <w:p w:rsidR="00451631" w:rsidRDefault="00DB3C16">
      <w:pPr>
        <w:pStyle w:val="a8"/>
        <w:numPr>
          <w:ilvl w:val="0"/>
          <w:numId w:val="2"/>
        </w:numPr>
        <w:spacing w:after="134"/>
        <w:ind w:firstLine="0"/>
        <w:rPr>
          <w:sz w:val="22"/>
          <w:szCs w:val="18"/>
        </w:rPr>
      </w:pPr>
      <w:bookmarkStart w:id="4" w:name="__DdeLink__234_403031532"/>
      <w:bookmarkEnd w:id="4"/>
      <w:r>
        <w:rPr>
          <w:sz w:val="22"/>
          <w:szCs w:val="18"/>
        </w:rPr>
        <w:t>第五點「補助金額上限」部分：雖未能明定具體補助金額上限者，但公告時已將補助比例上限敘明，不影響其金額之可得特定性，</w:t>
      </w:r>
      <w:proofErr w:type="gramStart"/>
      <w:r>
        <w:rPr>
          <w:sz w:val="22"/>
          <w:szCs w:val="18"/>
        </w:rPr>
        <w:t>仍符</w:t>
      </w:r>
      <w:proofErr w:type="gramEnd"/>
      <w:r>
        <w:rPr>
          <w:sz w:val="22"/>
          <w:szCs w:val="18"/>
        </w:rPr>
        <w:t>「公開公平方式辦理」之意旨。</w:t>
      </w:r>
    </w:p>
    <w:p w:rsidR="00451631" w:rsidRDefault="00DB3C16">
      <w:pPr>
        <w:pStyle w:val="a8"/>
        <w:numPr>
          <w:ilvl w:val="0"/>
          <w:numId w:val="2"/>
        </w:numPr>
        <w:spacing w:after="134"/>
        <w:ind w:firstLine="0"/>
        <w:rPr>
          <w:sz w:val="22"/>
          <w:szCs w:val="18"/>
        </w:rPr>
      </w:pPr>
      <w:r>
        <w:rPr>
          <w:sz w:val="22"/>
          <w:szCs w:val="18"/>
        </w:rPr>
        <w:t>第六點「全案預算金額概估」部分：若係屬機關團體之常態性、通案性補助，因補助預算尚未經審議通過或撥付等事實或法律上原因，致於開始受理補助時，未能確定全案預算金額時，於不影響申請補助者資訊獲取公平之情形下，已充分揭露其他補助資訊，得不予公布全案預算金額概估。</w:t>
      </w:r>
    </w:p>
    <w:p w:rsidR="00451631" w:rsidRDefault="00451631">
      <w:pPr>
        <w:pStyle w:val="a8"/>
        <w:spacing w:after="134"/>
        <w:ind w:left="720"/>
        <w:rPr>
          <w:sz w:val="22"/>
          <w:szCs w:val="18"/>
        </w:rPr>
      </w:pPr>
    </w:p>
    <w:p w:rsidR="00451631" w:rsidRDefault="00451631">
      <w:pPr>
        <w:pStyle w:val="a8"/>
        <w:spacing w:after="134"/>
        <w:ind w:left="720"/>
        <w:rPr>
          <w:sz w:val="22"/>
          <w:szCs w:val="18"/>
        </w:rPr>
      </w:pPr>
    </w:p>
    <w:p w:rsidR="00451631" w:rsidRDefault="00DB3C16">
      <w:pPr>
        <w:pStyle w:val="a5"/>
        <w:widowControl w:val="0"/>
        <w:numPr>
          <w:ilvl w:val="0"/>
          <w:numId w:val="1"/>
        </w:numPr>
        <w:overflowPunct w:val="0"/>
        <w:spacing w:after="25" w:line="328" w:lineRule="auto"/>
        <w:ind w:left="959" w:hanging="675"/>
        <w:textAlignment w:val="center"/>
      </w:pPr>
      <w:r>
        <w:t>申請時請填具「申請人(單位)聲明書」，如申請補助者為公職人員利益衝突迴避法第2條、第3條之公職人員或公職人員之「關係人」，應依同法第14條第2項規定，於</w:t>
      </w:r>
      <w:proofErr w:type="gramStart"/>
      <w:r>
        <w:t>申請時檢具</w:t>
      </w:r>
      <w:proofErr w:type="gramEnd"/>
      <w:r>
        <w:t xml:space="preserve">「公職人員利益衝突迴避法第14條第2項公職人員及關係人身分關係事前揭露表」；本機關（單位）於補助行為成立後，將填寫「身分關係事後公開表」，並將該表連同前開身分關係事前揭露表公開於相關網站。 </w:t>
      </w:r>
    </w:p>
    <w:p w:rsidR="00451631" w:rsidRDefault="00DB3C16">
      <w:pPr>
        <w:pStyle w:val="a5"/>
        <w:widowControl w:val="0"/>
        <w:numPr>
          <w:ilvl w:val="0"/>
          <w:numId w:val="1"/>
        </w:numPr>
        <w:overflowPunct w:val="0"/>
        <w:snapToGrid w:val="0"/>
        <w:spacing w:line="328" w:lineRule="auto"/>
        <w:ind w:left="959" w:hanging="675"/>
        <w:jc w:val="distribute"/>
        <w:textAlignment w:val="center"/>
      </w:pPr>
      <w:r>
        <w:t xml:space="preserve">檢附「申請人(單位)聲明書」、「公職人員利益衝突迴避法第14條第2項公職人員及關係人身分關係事前揭露表」、「○○補助申請表)」各1份。 </w:t>
      </w:r>
    </w:p>
    <w:sectPr w:rsidR="00451631">
      <w:pgSz w:w="11906" w:h="16838"/>
      <w:pgMar w:top="1440" w:right="1553" w:bottom="1440" w:left="180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349"/>
    <w:multiLevelType w:val="multilevel"/>
    <w:tmpl w:val="BE6E1C22"/>
    <w:lvl w:ilvl="0">
      <w:start w:val="1"/>
      <w:numFmt w:val="decimal"/>
      <w:lvlText w:val="%1、"/>
      <w:lvlJc w:val="left"/>
      <w:pPr>
        <w:ind w:left="96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（%2）"/>
      <w:lvlJc w:val="left"/>
      <w:pPr>
        <w:ind w:left="1425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53B6317C"/>
    <w:multiLevelType w:val="multilevel"/>
    <w:tmpl w:val="5DEA5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19524B"/>
    <w:multiLevelType w:val="multilevel"/>
    <w:tmpl w:val="B54E2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31"/>
    <w:rsid w:val="00286C1C"/>
    <w:rsid w:val="003D69A8"/>
    <w:rsid w:val="00451631"/>
    <w:rsid w:val="00874F2F"/>
    <w:rsid w:val="00C523B2"/>
    <w:rsid w:val="00DB2C29"/>
    <w:rsid w:val="00D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4">
    <w:name w:val="頁尾 字元"/>
    <w:basedOn w:val="a0"/>
    <w:qFormat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WWCharLFO1LVL1">
    <w:name w:val="WW_CharLFO1LVL1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2">
    <w:name w:val="WW_CharLFO1LVL2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3">
    <w:name w:val="WW_CharLFO1LVL3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4">
    <w:name w:val="WW_CharLFO1LVL4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5">
    <w:name w:val="WW_CharLFO1LVL5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6">
    <w:name w:val="WW_CharLFO1LVL6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7">
    <w:name w:val="WW_CharLFO1LVL7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8">
    <w:name w:val="WW_CharLFO1LVL8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9">
    <w:name w:val="WW_CharLFO1LVL9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paragraph" w:styleId="a5">
    <w:name w:val="Body Text"/>
    <w:pPr>
      <w:keepNext/>
      <w:shd w:val="clear" w:color="auto" w:fill="FFFFFF"/>
      <w:suppressAutoHyphens/>
      <w:spacing w:after="106" w:line="256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paragraph" w:styleId="a6">
    <w:name w:val="header"/>
    <w:basedOn w:val="a5"/>
    <w:pPr>
      <w:tabs>
        <w:tab w:val="center" w:pos="4143"/>
        <w:tab w:val="right" w:pos="829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43"/>
        <w:tab w:val="right" w:pos="8296"/>
      </w:tabs>
      <w:snapToGrid w:val="0"/>
    </w:pPr>
    <w:rPr>
      <w:sz w:val="20"/>
      <w:szCs w:val="20"/>
    </w:rPr>
  </w:style>
  <w:style w:type="paragraph" w:styleId="a8">
    <w:name w:val="List Paragraph"/>
    <w:basedOn w:val="a5"/>
    <w:qFormat/>
    <w:pPr>
      <w:ind w:left="48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a4">
    <w:name w:val="頁尾 字元"/>
    <w:basedOn w:val="a0"/>
    <w:qFormat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WWCharLFO1LVL1">
    <w:name w:val="WW_CharLFO1LVL1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2">
    <w:name w:val="WW_CharLFO1LVL2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3">
    <w:name w:val="WW_CharLFO1LVL3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4">
    <w:name w:val="WW_CharLFO1LVL4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5">
    <w:name w:val="WW_CharLFO1LVL5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6">
    <w:name w:val="WW_CharLFO1LVL6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7">
    <w:name w:val="WW_CharLFO1LVL7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8">
    <w:name w:val="WW_CharLFO1LVL8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CharLFO1LVL9">
    <w:name w:val="WW_CharLFO1LVL9"/>
    <w:qFormat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paragraph" w:styleId="a5">
    <w:name w:val="Body Text"/>
    <w:pPr>
      <w:keepNext/>
      <w:shd w:val="clear" w:color="auto" w:fill="FFFFFF"/>
      <w:suppressAutoHyphens/>
      <w:spacing w:after="106" w:line="256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paragraph" w:styleId="a6">
    <w:name w:val="header"/>
    <w:basedOn w:val="a5"/>
    <w:pPr>
      <w:tabs>
        <w:tab w:val="center" w:pos="4143"/>
        <w:tab w:val="right" w:pos="829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43"/>
        <w:tab w:val="right" w:pos="8296"/>
      </w:tabs>
      <w:snapToGrid w:val="0"/>
    </w:pPr>
    <w:rPr>
      <w:sz w:val="20"/>
      <w:szCs w:val="20"/>
    </w:rPr>
  </w:style>
  <w:style w:type="paragraph" w:styleId="a8">
    <w:name w:val="List Paragraph"/>
    <w:basedOn w:val="a5"/>
    <w:qFormat/>
    <w:pPr>
      <w:ind w:left="48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李泔儒</dc:creator>
  <cp:lastModifiedBy>Windows User</cp:lastModifiedBy>
  <cp:revision>5</cp:revision>
  <dcterms:created xsi:type="dcterms:W3CDTF">2022-12-01T03:30:00Z</dcterms:created>
  <dcterms:modified xsi:type="dcterms:W3CDTF">2022-12-02T03:28:00Z</dcterms:modified>
  <dc:language>zh-TW</dc:language>
</cp:coreProperties>
</file>