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018D" w14:textId="77777777" w:rsidR="00960736" w:rsidRDefault="0044771F">
      <w:pPr>
        <w:pStyle w:val="Standard"/>
      </w:pPr>
      <w:r>
        <w:rPr>
          <w:noProof/>
        </w:rPr>
        <mc:AlternateContent>
          <mc:Choice Requires="wps">
            <w:drawing>
              <wp:anchor distT="0" distB="0" distL="114300" distR="114300" simplePos="0" relativeHeight="251657728" behindDoc="0" locked="0" layoutInCell="1" allowOverlap="1" wp14:anchorId="1826B455" wp14:editId="1FE0D33C">
                <wp:simplePos x="0" y="0"/>
                <wp:positionH relativeFrom="column">
                  <wp:posOffset>236855</wp:posOffset>
                </wp:positionH>
                <wp:positionV relativeFrom="paragraph">
                  <wp:posOffset>635</wp:posOffset>
                </wp:positionV>
                <wp:extent cx="6910705" cy="8693150"/>
                <wp:effectExtent l="0" t="0" r="0" b="0"/>
                <wp:wrapSquare wrapText="bothSides"/>
                <wp:docPr id="2" name="外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0705" cy="8693150"/>
                        </a:xfrm>
                        <a:prstGeom prst="rect">
                          <a:avLst/>
                        </a:prstGeom>
                        <a:solidFill>
                          <a:srgbClr val="FFFFFF">
                            <a:alpha val="0"/>
                          </a:srgbClr>
                        </a:solidFill>
                        <a:ln>
                          <a:noFill/>
                          <a:prstDash/>
                        </a:ln>
                      </wps:spPr>
                      <wps:txbx>
                        <w:txbxContent>
                          <w:tbl>
                            <w:tblPr>
                              <w:tblW w:w="10705" w:type="dxa"/>
                              <w:tblLayout w:type="fixed"/>
                              <w:tblCellMar>
                                <w:left w:w="10" w:type="dxa"/>
                                <w:right w:w="10" w:type="dxa"/>
                              </w:tblCellMar>
                              <w:tblLook w:val="04A0" w:firstRow="1" w:lastRow="0" w:firstColumn="1" w:lastColumn="0" w:noHBand="0" w:noVBand="1"/>
                            </w:tblPr>
                            <w:tblGrid>
                              <w:gridCol w:w="2946"/>
                              <w:gridCol w:w="3388"/>
                              <w:gridCol w:w="1741"/>
                              <w:gridCol w:w="2630"/>
                            </w:tblGrid>
                            <w:tr w:rsidR="00960736" w14:paraId="3EB56B73" w14:textId="77777777">
                              <w:trPr>
                                <w:cantSplit/>
                                <w:trHeight w:val="1432"/>
                              </w:trPr>
                              <w:tc>
                                <w:tcPr>
                                  <w:tcW w:w="2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136570" w14:textId="77777777" w:rsidR="00960736" w:rsidRDefault="0044771F">
                                  <w:pPr>
                                    <w:pStyle w:val="Standard"/>
                                    <w:jc w:val="center"/>
                                  </w:pPr>
                                  <w:r w:rsidRPr="00347C1D">
                                    <w:rPr>
                                      <w:noProof/>
                                    </w:rPr>
                                    <w:drawing>
                                      <wp:inline distT="0" distB="0" distL="0" distR="0" wp14:anchorId="2C9A9739" wp14:editId="41A82D7D">
                                        <wp:extent cx="1341120" cy="670560"/>
                                        <wp:effectExtent l="0" t="0" r="0" b="0"/>
                                        <wp:docPr id="1" name="影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影像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670560"/>
                                                </a:xfrm>
                                                <a:prstGeom prst="rect">
                                                  <a:avLst/>
                                                </a:prstGeom>
                                                <a:noFill/>
                                                <a:ln>
                                                  <a:noFill/>
                                                </a:ln>
                                              </pic:spPr>
                                            </pic:pic>
                                          </a:graphicData>
                                        </a:graphic>
                                      </wp:inline>
                                    </w:drawing>
                                  </w:r>
                                </w:p>
                              </w:tc>
                              <w:tc>
                                <w:tcPr>
                                  <w:tcW w:w="3388"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14:paraId="7E2754A6" w14:textId="77777777" w:rsidR="00960736" w:rsidRDefault="006860D3">
                                  <w:pPr>
                                    <w:pStyle w:val="Standard"/>
                                    <w:jc w:val="both"/>
                                  </w:pPr>
                                  <w:r>
                                    <w:rPr>
                                      <w:rFonts w:ascii="微軟正黑體" w:eastAsia="微軟正黑體" w:hAnsi="微軟正黑體" w:cs="微軟正黑體"/>
                                      <w:b/>
                                      <w:sz w:val="44"/>
                                    </w:rPr>
                                    <w:t xml:space="preserve">   </w:t>
                                  </w:r>
                                  <w:r>
                                    <w:rPr>
                                      <w:rFonts w:ascii="微軟正黑體" w:eastAsia="微軟正黑體" w:hAnsi="微軟正黑體" w:cs="微軟正黑體"/>
                                      <w:b/>
                                      <w:sz w:val="36"/>
                                      <w:szCs w:val="36"/>
                                    </w:rPr>
                                    <w:t>雲林縣政府</w:t>
                                  </w:r>
                                </w:p>
                                <w:p w14:paraId="45E751C6" w14:textId="77777777" w:rsidR="00960736" w:rsidRDefault="006860D3">
                                  <w:pPr>
                                    <w:pStyle w:val="Standard"/>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 xml:space="preserve">        新聞稿</w:t>
                                  </w:r>
                                </w:p>
                              </w:tc>
                              <w:tc>
                                <w:tcPr>
                                  <w:tcW w:w="174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14:paraId="5639014E" w14:textId="77777777" w:rsidR="00960736" w:rsidRDefault="006860D3">
                                  <w:pPr>
                                    <w:pStyle w:val="Standard"/>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發佈日期：</w:t>
                                  </w:r>
                                </w:p>
                                <w:p w14:paraId="63F3E826" w14:textId="101E8BBE" w:rsidR="00960736" w:rsidRDefault="006860D3">
                                  <w:pPr>
                                    <w:pStyle w:val="Standard"/>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10</w:t>
                                  </w:r>
                                  <w:r w:rsidR="00D37442">
                                    <w:rPr>
                                      <w:rFonts w:ascii="微軟正黑體" w:eastAsia="微軟正黑體" w:hAnsi="微軟正黑體" w:cs="微軟正黑體"/>
                                      <w:b/>
                                      <w:sz w:val="28"/>
                                      <w:szCs w:val="28"/>
                                    </w:rPr>
                                    <w:t>9</w:t>
                                  </w:r>
                                  <w:r>
                                    <w:rPr>
                                      <w:rFonts w:ascii="微軟正黑體" w:eastAsia="微軟正黑體" w:hAnsi="微軟正黑體" w:cs="微軟正黑體"/>
                                      <w:b/>
                                      <w:sz w:val="28"/>
                                      <w:szCs w:val="28"/>
                                    </w:rPr>
                                    <w:t>0</w:t>
                                  </w:r>
                                  <w:r w:rsidR="005244E1">
                                    <w:rPr>
                                      <w:rFonts w:ascii="微軟正黑體" w:eastAsia="微軟正黑體" w:hAnsi="微軟正黑體" w:cs="微軟正黑體"/>
                                      <w:b/>
                                      <w:sz w:val="28"/>
                                      <w:szCs w:val="28"/>
                                    </w:rPr>
                                    <w:t>707</w:t>
                                  </w:r>
                                </w:p>
                              </w:tc>
                              <w:tc>
                                <w:tcPr>
                                  <w:tcW w:w="26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F1DD957" w14:textId="77777777" w:rsidR="00960736" w:rsidRDefault="006860D3">
                                  <w:pPr>
                                    <w:pStyle w:val="Standard"/>
                                    <w:jc w:val="both"/>
                                    <w:rPr>
                                      <w:rFonts w:ascii="微軟正黑體" w:eastAsia="微軟正黑體" w:hAnsi="微軟正黑體" w:cs="微軟正黑體"/>
                                      <w:b/>
                                      <w:color w:val="000000"/>
                                      <w:sz w:val="28"/>
                                      <w:szCs w:val="28"/>
                                    </w:rPr>
                                  </w:pPr>
                                  <w:r>
                                    <w:rPr>
                                      <w:rFonts w:ascii="微軟正黑體" w:eastAsia="微軟正黑體" w:hAnsi="微軟正黑體" w:cs="微軟正黑體"/>
                                      <w:b/>
                                      <w:color w:val="000000"/>
                                      <w:sz w:val="28"/>
                                      <w:szCs w:val="28"/>
                                    </w:rPr>
                                    <w:t>新聞聯絡人：</w:t>
                                  </w:r>
                                </w:p>
                                <w:p w14:paraId="5727A8C9" w14:textId="77777777" w:rsidR="00960736" w:rsidRDefault="00324018">
                                  <w:pPr>
                                    <w:pStyle w:val="Standard"/>
                                    <w:jc w:val="both"/>
                                    <w:rPr>
                                      <w:rFonts w:ascii="微軟正黑體" w:eastAsia="微軟正黑體" w:hAnsi="微軟正黑體" w:cs="微軟正黑體"/>
                                      <w:b/>
                                      <w:color w:val="000000"/>
                                      <w:sz w:val="28"/>
                                      <w:szCs w:val="28"/>
                                    </w:rPr>
                                  </w:pPr>
                                  <w:r>
                                    <w:rPr>
                                      <w:rFonts w:ascii="微軟正黑體" w:eastAsia="微軟正黑體" w:hAnsi="微軟正黑體" w:cs="微軟正黑體" w:hint="eastAsia"/>
                                      <w:b/>
                                      <w:color w:val="000000"/>
                                      <w:sz w:val="28"/>
                                      <w:szCs w:val="28"/>
                                    </w:rPr>
                                    <w:t>劉建志</w:t>
                                  </w:r>
                                  <w:r w:rsidR="006860D3">
                                    <w:rPr>
                                      <w:rFonts w:ascii="微軟正黑體" w:eastAsia="微軟正黑體" w:hAnsi="微軟正黑體" w:cs="微軟正黑體"/>
                                      <w:b/>
                                      <w:color w:val="000000"/>
                                      <w:sz w:val="28"/>
                                      <w:szCs w:val="28"/>
                                    </w:rPr>
                                    <w:t xml:space="preserve"> 科員</w:t>
                                  </w:r>
                                </w:p>
                                <w:p w14:paraId="2782FA1E" w14:textId="77777777" w:rsidR="00960736" w:rsidRDefault="006860D3">
                                  <w:pPr>
                                    <w:pStyle w:val="Standard"/>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電話:</w:t>
                                  </w:r>
                                </w:p>
                                <w:p w14:paraId="66C2153B" w14:textId="77777777" w:rsidR="00960736" w:rsidRDefault="006860D3">
                                  <w:pPr>
                                    <w:pStyle w:val="Standard"/>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05-5325707*</w:t>
                                  </w:r>
                                  <w:r w:rsidR="00324018">
                                    <w:rPr>
                                      <w:rFonts w:ascii="微軟正黑體" w:eastAsia="微軟正黑體" w:hAnsi="微軟正黑體" w:cs="微軟正黑體"/>
                                      <w:b/>
                                      <w:sz w:val="28"/>
                                      <w:szCs w:val="28"/>
                                    </w:rPr>
                                    <w:t>215</w:t>
                                  </w:r>
                                </w:p>
                              </w:tc>
                            </w:tr>
                            <w:tr w:rsidR="00960736" w14:paraId="6C94CF18" w14:textId="77777777">
                              <w:trPr>
                                <w:cantSplit/>
                                <w:trHeight w:val="350"/>
                              </w:trPr>
                              <w:tc>
                                <w:tcPr>
                                  <w:tcW w:w="10705" w:type="dxa"/>
                                  <w:gridSpan w:val="4"/>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50E7EDA6" w14:textId="77777777" w:rsidR="00960736" w:rsidRDefault="00960736">
                                  <w:pPr>
                                    <w:pStyle w:val="Standard"/>
                                    <w:snapToGrid w:val="0"/>
                                    <w:rPr>
                                      <w:rFonts w:ascii="微軟正黑體" w:eastAsia="微軟正黑體" w:hAnsi="微軟正黑體" w:cs="微軟正黑體"/>
                                      <w:sz w:val="28"/>
                                      <w:szCs w:val="28"/>
                                    </w:rPr>
                                  </w:pPr>
                                </w:p>
                              </w:tc>
                            </w:tr>
                            <w:tr w:rsidR="00960736" w14:paraId="75514FD3" w14:textId="77777777">
                              <w:trPr>
                                <w:cantSplit/>
                                <w:trHeight w:val="460"/>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9CB19" w14:textId="77777777" w:rsidR="00960736" w:rsidRDefault="006860D3">
                                  <w:pPr>
                                    <w:pStyle w:val="Standard"/>
                                    <w:spacing w:before="180" w:after="180" w:line="400" w:lineRule="exact"/>
                                    <w:jc w:val="center"/>
                                  </w:pPr>
                                  <w:proofErr w:type="gramStart"/>
                                  <w:r>
                                    <w:rPr>
                                      <w:rFonts w:ascii="標楷體" w:eastAsia="標楷體" w:hAnsi="標楷體"/>
                                      <w:b/>
                                      <w:sz w:val="40"/>
                                      <w:szCs w:val="40"/>
                                    </w:rPr>
                                    <w:t>災防告警</w:t>
                                  </w:r>
                                  <w:proofErr w:type="gramEnd"/>
                                  <w:r>
                                    <w:rPr>
                                      <w:rFonts w:ascii="標楷體" w:eastAsia="標楷體" w:hAnsi="標楷體"/>
                                      <w:b/>
                                      <w:sz w:val="40"/>
                                      <w:szCs w:val="40"/>
                                    </w:rPr>
                                    <w:t>細胞廣播服務訊息CBS測試發布新聞稿</w:t>
                                  </w:r>
                                </w:p>
                              </w:tc>
                            </w:tr>
                            <w:tr w:rsidR="00960736" w14:paraId="3BEDC9E2" w14:textId="77777777">
                              <w:trPr>
                                <w:cantSplit/>
                                <w:trHeight w:val="10093"/>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5860" w14:textId="4D26F988" w:rsidR="00960736" w:rsidRDefault="006860D3">
                                  <w:pPr>
                                    <w:spacing w:line="500" w:lineRule="exact"/>
                                    <w:rPr>
                                      <w:rFonts w:hint="eastAsia"/>
                                    </w:rPr>
                                  </w:pPr>
                                  <w:r>
                                    <w:rPr>
                                      <w:rFonts w:ascii="標楷體" w:eastAsia="標楷體" w:hAnsi="標楷體"/>
                                      <w:sz w:val="28"/>
                                      <w:szCs w:val="28"/>
                                    </w:rPr>
                                    <w:t xml:space="preserve">    </w:t>
                                  </w:r>
                                  <w:r>
                                    <w:rPr>
                                      <w:rFonts w:ascii="標楷體" w:eastAsia="標楷體" w:hAnsi="標楷體"/>
                                      <w:sz w:val="32"/>
                                      <w:szCs w:val="28"/>
                                    </w:rPr>
                                    <w:t>本縣為因應大規模災害發生或有發生之虞並需進行疏散避難時，能迅速將疏散避難訊息</w:t>
                                  </w:r>
                                  <w:proofErr w:type="gramStart"/>
                                  <w:r>
                                    <w:rPr>
                                      <w:rFonts w:ascii="標楷體" w:eastAsia="標楷體" w:hAnsi="標楷體"/>
                                      <w:sz w:val="32"/>
                                      <w:szCs w:val="28"/>
                                    </w:rPr>
                                    <w:t>透過災防告警</w:t>
                                  </w:r>
                                  <w:proofErr w:type="gramEnd"/>
                                  <w:r>
                                    <w:rPr>
                                      <w:rFonts w:ascii="標楷體" w:eastAsia="標楷體" w:hAnsi="標楷體"/>
                                      <w:sz w:val="32"/>
                                      <w:szCs w:val="28"/>
                                    </w:rPr>
                                    <w:t>細胞廣播服務(CBS)，將相關訊息傳送至民眾手機，訂於</w:t>
                                  </w:r>
                                  <w:r w:rsidR="005244E1" w:rsidRPr="005244E1">
                                    <w:rPr>
                                      <w:rFonts w:ascii="標楷體" w:eastAsia="標楷體" w:hAnsi="標楷體"/>
                                      <w:color w:val="FF0000"/>
                                      <w:sz w:val="32"/>
                                      <w:szCs w:val="28"/>
                                    </w:rPr>
                                    <w:t>7</w:t>
                                  </w:r>
                                  <w:r w:rsidRPr="005244E1">
                                    <w:rPr>
                                      <w:rFonts w:ascii="標楷體" w:eastAsia="標楷體" w:hAnsi="標楷體"/>
                                      <w:color w:val="FF0000"/>
                                      <w:sz w:val="32"/>
                                      <w:szCs w:val="28"/>
                                    </w:rPr>
                                    <w:t>月</w:t>
                                  </w:r>
                                  <w:r w:rsidR="005244E1" w:rsidRPr="005244E1">
                                    <w:rPr>
                                      <w:rFonts w:ascii="標楷體" w:eastAsia="標楷體" w:hAnsi="標楷體"/>
                                      <w:color w:val="FF0000"/>
                                      <w:sz w:val="32"/>
                                      <w:szCs w:val="28"/>
                                    </w:rPr>
                                    <w:t>7</w:t>
                                  </w:r>
                                  <w:r w:rsidRPr="005244E1">
                                    <w:rPr>
                                      <w:rFonts w:ascii="標楷體" w:eastAsia="標楷體" w:hAnsi="標楷體"/>
                                      <w:color w:val="FF0000"/>
                                      <w:sz w:val="32"/>
                                      <w:szCs w:val="28"/>
                                    </w:rPr>
                                    <w:t>日(星期</w:t>
                                  </w:r>
                                  <w:r w:rsidR="005244E1" w:rsidRPr="005244E1">
                                    <w:rPr>
                                      <w:rFonts w:ascii="標楷體" w:eastAsia="標楷體" w:hAnsi="標楷體" w:hint="eastAsia"/>
                                      <w:color w:val="FF0000"/>
                                      <w:sz w:val="32"/>
                                      <w:szCs w:val="28"/>
                                    </w:rPr>
                                    <w:t>二</w:t>
                                  </w:r>
                                  <w:r w:rsidRPr="005244E1">
                                    <w:rPr>
                                      <w:rFonts w:ascii="標楷體" w:eastAsia="標楷體" w:hAnsi="標楷體"/>
                                      <w:color w:val="FF0000"/>
                                      <w:sz w:val="32"/>
                                      <w:szCs w:val="28"/>
                                    </w:rPr>
                                    <w:t>)1</w:t>
                                  </w:r>
                                  <w:r w:rsidR="00D37442" w:rsidRPr="005244E1">
                                    <w:rPr>
                                      <w:rFonts w:ascii="標楷體" w:eastAsia="標楷體" w:hAnsi="標楷體"/>
                                      <w:color w:val="FF0000"/>
                                      <w:sz w:val="32"/>
                                      <w:szCs w:val="28"/>
                                    </w:rPr>
                                    <w:t>4</w:t>
                                  </w:r>
                                  <w:r w:rsidRPr="005244E1">
                                    <w:rPr>
                                      <w:rFonts w:ascii="標楷體" w:eastAsia="標楷體" w:hAnsi="標楷體"/>
                                      <w:color w:val="FF0000"/>
                                      <w:sz w:val="32"/>
                                      <w:szCs w:val="28"/>
                                    </w:rPr>
                                    <w:t>時至</w:t>
                                  </w:r>
                                  <w:r w:rsidR="0044771F" w:rsidRPr="005244E1">
                                    <w:rPr>
                                      <w:rFonts w:ascii="標楷體" w:eastAsia="標楷體" w:hAnsi="標楷體" w:hint="eastAsia"/>
                                      <w:color w:val="FF0000"/>
                                      <w:sz w:val="32"/>
                                      <w:szCs w:val="28"/>
                                    </w:rPr>
                                    <w:t>1</w:t>
                                  </w:r>
                                  <w:r w:rsidR="005244E1" w:rsidRPr="005244E1">
                                    <w:rPr>
                                      <w:rFonts w:ascii="標楷體" w:eastAsia="標楷體" w:hAnsi="標楷體"/>
                                      <w:color w:val="FF0000"/>
                                      <w:sz w:val="32"/>
                                      <w:szCs w:val="28"/>
                                    </w:rPr>
                                    <w:t>4</w:t>
                                  </w:r>
                                  <w:r w:rsidRPr="005244E1">
                                    <w:rPr>
                                      <w:rFonts w:ascii="標楷體" w:eastAsia="標楷體" w:hAnsi="標楷體"/>
                                      <w:color w:val="FF0000"/>
                                      <w:sz w:val="32"/>
                                      <w:szCs w:val="28"/>
                                    </w:rPr>
                                    <w:t>時</w:t>
                                  </w:r>
                                  <w:r w:rsidR="005244E1" w:rsidRPr="005244E1">
                                    <w:rPr>
                                      <w:rFonts w:ascii="標楷體" w:eastAsia="標楷體" w:hAnsi="標楷體" w:hint="eastAsia"/>
                                      <w:color w:val="FF0000"/>
                                      <w:sz w:val="32"/>
                                      <w:szCs w:val="28"/>
                                    </w:rPr>
                                    <w:t>3</w:t>
                                  </w:r>
                                  <w:r w:rsidR="005244E1" w:rsidRPr="005244E1">
                                    <w:rPr>
                                      <w:rFonts w:ascii="標楷體" w:eastAsia="標楷體" w:hAnsi="標楷體"/>
                                      <w:color w:val="FF0000"/>
                                      <w:sz w:val="32"/>
                                      <w:szCs w:val="28"/>
                                    </w:rPr>
                                    <w:t>0</w:t>
                                  </w:r>
                                  <w:r w:rsidR="005244E1" w:rsidRPr="005244E1">
                                    <w:rPr>
                                      <w:rFonts w:ascii="標楷體" w:eastAsia="標楷體" w:hAnsi="標楷體" w:hint="eastAsia"/>
                                      <w:color w:val="FF0000"/>
                                      <w:sz w:val="32"/>
                                      <w:szCs w:val="28"/>
                                    </w:rPr>
                                    <w:t>分</w:t>
                                  </w:r>
                                  <w:r w:rsidRPr="005244E1">
                                    <w:rPr>
                                      <w:rFonts w:ascii="標楷體" w:eastAsia="標楷體" w:hAnsi="標楷體"/>
                                      <w:color w:val="FF0000"/>
                                      <w:sz w:val="32"/>
                                      <w:szCs w:val="28"/>
                                    </w:rPr>
                                    <w:t>針對本縣</w:t>
                                  </w:r>
                                  <w:r w:rsidR="005244E1" w:rsidRPr="005244E1">
                                    <w:rPr>
                                      <w:rFonts w:ascii="標楷體" w:eastAsia="標楷體" w:hAnsi="標楷體" w:hint="eastAsia"/>
                                      <w:color w:val="FF0000"/>
                                      <w:sz w:val="32"/>
                                      <w:szCs w:val="28"/>
                                    </w:rPr>
                                    <w:t>虎尾</w:t>
                                  </w:r>
                                  <w:r w:rsidR="00D37442" w:rsidRPr="005244E1">
                                    <w:rPr>
                                      <w:rFonts w:ascii="標楷體" w:eastAsia="標楷體" w:hAnsi="標楷體" w:hint="eastAsia"/>
                                      <w:color w:val="FF0000"/>
                                      <w:sz w:val="32"/>
                                      <w:szCs w:val="28"/>
                                    </w:rPr>
                                    <w:t>鎮</w:t>
                                  </w:r>
                                  <w:r>
                                    <w:rPr>
                                      <w:rFonts w:ascii="標楷體" w:eastAsia="標楷體" w:hAnsi="標楷體"/>
                                      <w:sz w:val="32"/>
                                      <w:szCs w:val="28"/>
                                    </w:rPr>
                                    <w:t>發布「疏散避難警報」</w:t>
                                  </w:r>
                                  <w:proofErr w:type="gramStart"/>
                                  <w:r>
                                    <w:rPr>
                                      <w:rFonts w:ascii="標楷體" w:eastAsia="標楷體" w:hAnsi="標楷體"/>
                                      <w:sz w:val="32"/>
                                      <w:szCs w:val="28"/>
                                    </w:rPr>
                                    <w:t>災防告警</w:t>
                                  </w:r>
                                  <w:proofErr w:type="gramEnd"/>
                                  <w:r>
                                    <w:rPr>
                                      <w:rFonts w:ascii="標楷體" w:eastAsia="標楷體" w:hAnsi="標楷體"/>
                                      <w:sz w:val="32"/>
                                      <w:szCs w:val="28"/>
                                    </w:rPr>
                                    <w:t>訊息，此訊息為演習測試所發送，相關區域無災害或異常狀況，請民眾安心。</w:t>
                                  </w:r>
                                </w:p>
                                <w:p w14:paraId="2FFB2521" w14:textId="20789498" w:rsidR="00960736" w:rsidRDefault="006860D3">
                                  <w:pPr>
                                    <w:spacing w:line="500" w:lineRule="exact"/>
                                    <w:rPr>
                                      <w:rFonts w:ascii="標楷體" w:eastAsia="標楷體" w:hAnsi="標楷體"/>
                                      <w:sz w:val="32"/>
                                      <w:szCs w:val="28"/>
                                    </w:rPr>
                                  </w:pPr>
                                  <w:r>
                                    <w:rPr>
                                      <w:rFonts w:ascii="標楷體" w:eastAsia="標楷體" w:hAnsi="標楷體"/>
                                      <w:sz w:val="32"/>
                                      <w:szCs w:val="28"/>
                                    </w:rPr>
                                    <w:t xml:space="preserve">    本</w:t>
                                  </w:r>
                                  <w:proofErr w:type="gramStart"/>
                                  <w:r>
                                    <w:rPr>
                                      <w:rFonts w:ascii="標楷體" w:eastAsia="標楷體" w:hAnsi="標楷體"/>
                                      <w:sz w:val="32"/>
                                      <w:szCs w:val="28"/>
                                    </w:rPr>
                                    <w:t>次災防告警</w:t>
                                  </w:r>
                                  <w:proofErr w:type="gramEnd"/>
                                  <w:r>
                                    <w:rPr>
                                      <w:rFonts w:ascii="標楷體" w:eastAsia="標楷體" w:hAnsi="標楷體"/>
                                      <w:sz w:val="32"/>
                                      <w:szCs w:val="28"/>
                                    </w:rPr>
                                    <w:t>訊息測試是為了在緊急狀況發生的時候，能確實透過電信業者向指定地區內的4G手機廣播發送告警訊息，讓民眾可以即時獲得最新災害消息，採取應變措施，往後如本縣有發生大規模緊急災害事件需請民眾立即進行疏散撤離時，即會透過像測試所發布</w:t>
                                  </w:r>
                                  <w:proofErr w:type="gramStart"/>
                                  <w:r>
                                    <w:rPr>
                                      <w:rFonts w:ascii="標楷體" w:eastAsia="標楷體" w:hAnsi="標楷體"/>
                                      <w:sz w:val="32"/>
                                      <w:szCs w:val="28"/>
                                    </w:rPr>
                                    <w:t>之災防告警</w:t>
                                  </w:r>
                                  <w:proofErr w:type="gramEnd"/>
                                  <w:r>
                                    <w:rPr>
                                      <w:rFonts w:ascii="標楷體" w:eastAsia="標楷體" w:hAnsi="標楷體"/>
                                      <w:sz w:val="32"/>
                                      <w:szCs w:val="28"/>
                                    </w:rPr>
                                    <w:t>訊息，將災害訊息及相關避難措施即時發布給民眾，屆時請民眾</w:t>
                                  </w:r>
                                  <w:proofErr w:type="gramStart"/>
                                  <w:r>
                                    <w:rPr>
                                      <w:rFonts w:ascii="標楷體" w:eastAsia="標楷體" w:hAnsi="標楷體"/>
                                      <w:sz w:val="32"/>
                                      <w:szCs w:val="28"/>
                                    </w:rPr>
                                    <w:t>配合災防告警</w:t>
                                  </w:r>
                                  <w:proofErr w:type="gramEnd"/>
                                  <w:r>
                                    <w:rPr>
                                      <w:rFonts w:ascii="標楷體" w:eastAsia="標楷體" w:hAnsi="標楷體"/>
                                      <w:sz w:val="32"/>
                                      <w:szCs w:val="28"/>
                                    </w:rPr>
                                    <w:t xml:space="preserve">訊息，進行相關避難措施。 </w:t>
                                  </w:r>
                                </w:p>
                                <w:p w14:paraId="50CC3D0D" w14:textId="77777777" w:rsidR="00960736" w:rsidRDefault="00960736">
                                  <w:pPr>
                                    <w:spacing w:line="500" w:lineRule="exact"/>
                                    <w:rPr>
                                      <w:rFonts w:ascii="標楷體" w:eastAsia="標楷體" w:hAnsi="標楷體"/>
                                      <w:sz w:val="32"/>
                                      <w:szCs w:val="28"/>
                                    </w:rPr>
                                  </w:pPr>
                                </w:p>
                                <w:p w14:paraId="464F024D" w14:textId="77777777" w:rsidR="00960736" w:rsidRDefault="006860D3">
                                  <w:pPr>
                                    <w:spacing w:line="500" w:lineRule="exact"/>
                                    <w:rPr>
                                      <w:rFonts w:ascii="標楷體" w:eastAsia="標楷體" w:hAnsi="標楷體"/>
                                      <w:sz w:val="32"/>
                                      <w:szCs w:val="28"/>
                                    </w:rPr>
                                  </w:pPr>
                                  <w:r>
                                    <w:rPr>
                                      <w:rFonts w:ascii="標楷體" w:eastAsia="標楷體" w:hAnsi="標楷體"/>
                                      <w:sz w:val="32"/>
                                      <w:szCs w:val="28"/>
                                    </w:rPr>
                                    <w:t>本次測試訊息內容如下：</w:t>
                                  </w:r>
                                </w:p>
                                <w:p w14:paraId="1650FC5A" w14:textId="48B9197E" w:rsidR="0044771F" w:rsidRPr="00966111" w:rsidRDefault="00D37442">
                                  <w:pPr>
                                    <w:spacing w:line="500" w:lineRule="exact"/>
                                    <w:rPr>
                                      <w:rFonts w:hint="eastAsia"/>
                                    </w:rPr>
                                  </w:pPr>
                                  <w:r w:rsidRPr="00D37442">
                                    <w:rPr>
                                      <w:rFonts w:ascii="標楷體" w:eastAsia="標楷體" w:hAnsi="標楷體" w:hint="eastAsia"/>
                                      <w:sz w:val="32"/>
                                      <w:szCs w:val="28"/>
                                    </w:rPr>
                                    <w:t>[演練][疏散避難][Evacuation Drill]109年</w:t>
                                  </w:r>
                                  <w:r w:rsidRPr="005244E1">
                                    <w:rPr>
                                      <w:rFonts w:ascii="標楷體" w:eastAsia="標楷體" w:hAnsi="標楷體" w:hint="eastAsia"/>
                                      <w:color w:val="FF0000"/>
                                      <w:sz w:val="32"/>
                                      <w:szCs w:val="28"/>
                                    </w:rPr>
                                    <w:t>民安6號演習</w:t>
                                  </w:r>
                                  <w:r w:rsidRPr="00D37442">
                                    <w:rPr>
                                      <w:rFonts w:ascii="標楷體" w:eastAsia="標楷體" w:hAnsi="標楷體" w:hint="eastAsia"/>
                                      <w:sz w:val="32"/>
                                      <w:szCs w:val="28"/>
                                    </w:rPr>
                                    <w:t>疏散警報發送演練。雲林縣災害應變中心</w:t>
                                  </w:r>
                                  <w:proofErr w:type="spellStart"/>
                                  <w:r w:rsidRPr="00D37442">
                                    <w:rPr>
                                      <w:rFonts w:ascii="標楷體" w:eastAsia="標楷體" w:hAnsi="標楷體" w:hint="eastAsia"/>
                                      <w:sz w:val="32"/>
                                      <w:szCs w:val="28"/>
                                    </w:rPr>
                                    <w:t>Yunlin.EOC</w:t>
                                  </w:r>
                                  <w:proofErr w:type="spellEnd"/>
                                  <w:r w:rsidRPr="00D37442">
                                    <w:rPr>
                                      <w:rFonts w:ascii="標楷體" w:eastAsia="標楷體" w:hAnsi="標楷體" w:hint="eastAsia"/>
                                      <w:sz w:val="32"/>
                                      <w:szCs w:val="28"/>
                                    </w:rPr>
                                    <w:t>，05-5379409*0。</w:t>
                                  </w:r>
                                </w:p>
                              </w:tc>
                            </w:tr>
                          </w:tbl>
                          <w:p w14:paraId="2C66BDFE" w14:textId="77777777" w:rsidR="00960736" w:rsidRDefault="00960736">
                            <w:pPr>
                              <w:rPr>
                                <w:rFonts w:hint="eastAsia"/>
                              </w:rPr>
                            </w:pPr>
                          </w:p>
                        </w:txbxContent>
                      </wps:txbx>
                      <wps:bodyPr vert="horz" wrap="squar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1826B455" id="_x0000_t202" coordsize="21600,21600" o:spt="202" path="m,l,21600r21600,l21600,xe">
                <v:stroke joinstyle="miter"/>
                <v:path gradientshapeok="t" o:connecttype="rect"/>
              </v:shapetype>
              <v:shape id="外框1" o:spid="_x0000_s1026" type="#_x0000_t202" style="position:absolute;margin-left:18.65pt;margin-top:.05pt;width:544.15pt;height:6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" stroked="f">
                <v:fill opacity="0"/>
                <v:textbox style="mso-fit-shape-to-text:t" inset="0,0,0,0">
                  <w:txbxContent>
                    <w:tbl>
                      <w:tblPr>
                        <w:tblW w:w="10705" w:type="dxa"/>
                        <w:tblLayout w:type="fixed"/>
                        <w:tblCellMar>
                          <w:left w:w="10" w:type="dxa"/>
                          <w:right w:w="10" w:type="dxa"/>
                        </w:tblCellMar>
                        <w:tblLook w:val="04A0" w:firstRow="1" w:lastRow="0" w:firstColumn="1" w:lastColumn="0" w:noHBand="0" w:noVBand="1"/>
                      </w:tblPr>
                      <w:tblGrid>
                        <w:gridCol w:w="2946"/>
                        <w:gridCol w:w="3388"/>
                        <w:gridCol w:w="1741"/>
                        <w:gridCol w:w="2630"/>
                      </w:tblGrid>
                      <w:tr w:rsidR="00960736" w14:paraId="3EB56B73" w14:textId="77777777">
                        <w:trPr>
                          <w:cantSplit/>
                          <w:trHeight w:val="1432"/>
                        </w:trPr>
                        <w:tc>
                          <w:tcPr>
                            <w:tcW w:w="2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136570" w14:textId="77777777" w:rsidR="00960736" w:rsidRDefault="0044771F">
                            <w:pPr>
                              <w:pStyle w:val="Standard"/>
                              <w:jc w:val="center"/>
                            </w:pPr>
                            <w:r w:rsidRPr="00347C1D">
                              <w:rPr>
                                <w:noProof/>
                              </w:rPr>
                              <w:drawing>
                                <wp:inline distT="0" distB="0" distL="0" distR="0" wp14:anchorId="2C9A9739" wp14:editId="41A82D7D">
                                  <wp:extent cx="1341120" cy="670560"/>
                                  <wp:effectExtent l="0" t="0" r="0" b="0"/>
                                  <wp:docPr id="1" name="影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影像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670560"/>
                                          </a:xfrm>
                                          <a:prstGeom prst="rect">
                                            <a:avLst/>
                                          </a:prstGeom>
                                          <a:noFill/>
                                          <a:ln>
                                            <a:noFill/>
                                          </a:ln>
                                        </pic:spPr>
                                      </pic:pic>
                                    </a:graphicData>
                                  </a:graphic>
                                </wp:inline>
                              </w:drawing>
                            </w:r>
                          </w:p>
                        </w:tc>
                        <w:tc>
                          <w:tcPr>
                            <w:tcW w:w="3388"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14:paraId="7E2754A6" w14:textId="77777777" w:rsidR="00960736" w:rsidRDefault="006860D3">
                            <w:pPr>
                              <w:pStyle w:val="Standard"/>
                              <w:jc w:val="both"/>
                            </w:pPr>
                            <w:r>
                              <w:rPr>
                                <w:rFonts w:ascii="微軟正黑體" w:eastAsia="微軟正黑體" w:hAnsi="微軟正黑體" w:cs="微軟正黑體"/>
                                <w:b/>
                                <w:sz w:val="44"/>
                              </w:rPr>
                              <w:t xml:space="preserve">   </w:t>
                            </w:r>
                            <w:r>
                              <w:rPr>
                                <w:rFonts w:ascii="微軟正黑體" w:eastAsia="微軟正黑體" w:hAnsi="微軟正黑體" w:cs="微軟正黑體"/>
                                <w:b/>
                                <w:sz w:val="36"/>
                                <w:szCs w:val="36"/>
                              </w:rPr>
                              <w:t>雲林縣政府</w:t>
                            </w:r>
                          </w:p>
                          <w:p w14:paraId="45E751C6" w14:textId="77777777" w:rsidR="00960736" w:rsidRDefault="006860D3">
                            <w:pPr>
                              <w:pStyle w:val="Standard"/>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 xml:space="preserve">        新聞稿</w:t>
                            </w:r>
                          </w:p>
                        </w:tc>
                        <w:tc>
                          <w:tcPr>
                            <w:tcW w:w="174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14:paraId="5639014E" w14:textId="77777777" w:rsidR="00960736" w:rsidRDefault="006860D3">
                            <w:pPr>
                              <w:pStyle w:val="Standard"/>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發佈日期：</w:t>
                            </w:r>
                          </w:p>
                          <w:p w14:paraId="63F3E826" w14:textId="101E8BBE" w:rsidR="00960736" w:rsidRDefault="006860D3">
                            <w:pPr>
                              <w:pStyle w:val="Standard"/>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10</w:t>
                            </w:r>
                            <w:r w:rsidR="00D37442">
                              <w:rPr>
                                <w:rFonts w:ascii="微軟正黑體" w:eastAsia="微軟正黑體" w:hAnsi="微軟正黑體" w:cs="微軟正黑體"/>
                                <w:b/>
                                <w:sz w:val="28"/>
                                <w:szCs w:val="28"/>
                              </w:rPr>
                              <w:t>9</w:t>
                            </w:r>
                            <w:r>
                              <w:rPr>
                                <w:rFonts w:ascii="微軟正黑體" w:eastAsia="微軟正黑體" w:hAnsi="微軟正黑體" w:cs="微軟正黑體"/>
                                <w:b/>
                                <w:sz w:val="28"/>
                                <w:szCs w:val="28"/>
                              </w:rPr>
                              <w:t>0</w:t>
                            </w:r>
                            <w:r w:rsidR="005244E1">
                              <w:rPr>
                                <w:rFonts w:ascii="微軟正黑體" w:eastAsia="微軟正黑體" w:hAnsi="微軟正黑體" w:cs="微軟正黑體"/>
                                <w:b/>
                                <w:sz w:val="28"/>
                                <w:szCs w:val="28"/>
                              </w:rPr>
                              <w:t>707</w:t>
                            </w:r>
                          </w:p>
                        </w:tc>
                        <w:tc>
                          <w:tcPr>
                            <w:tcW w:w="26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F1DD957" w14:textId="77777777" w:rsidR="00960736" w:rsidRDefault="006860D3">
                            <w:pPr>
                              <w:pStyle w:val="Standard"/>
                              <w:jc w:val="both"/>
                              <w:rPr>
                                <w:rFonts w:ascii="微軟正黑體" w:eastAsia="微軟正黑體" w:hAnsi="微軟正黑體" w:cs="微軟正黑體"/>
                                <w:b/>
                                <w:color w:val="000000"/>
                                <w:sz w:val="28"/>
                                <w:szCs w:val="28"/>
                              </w:rPr>
                            </w:pPr>
                            <w:r>
                              <w:rPr>
                                <w:rFonts w:ascii="微軟正黑體" w:eastAsia="微軟正黑體" w:hAnsi="微軟正黑體" w:cs="微軟正黑體"/>
                                <w:b/>
                                <w:color w:val="000000"/>
                                <w:sz w:val="28"/>
                                <w:szCs w:val="28"/>
                              </w:rPr>
                              <w:t>新聞聯絡人：</w:t>
                            </w:r>
                          </w:p>
                          <w:p w14:paraId="5727A8C9" w14:textId="77777777" w:rsidR="00960736" w:rsidRDefault="00324018">
                            <w:pPr>
                              <w:pStyle w:val="Standard"/>
                              <w:jc w:val="both"/>
                              <w:rPr>
                                <w:rFonts w:ascii="微軟正黑體" w:eastAsia="微軟正黑體" w:hAnsi="微軟正黑體" w:cs="微軟正黑體"/>
                                <w:b/>
                                <w:color w:val="000000"/>
                                <w:sz w:val="28"/>
                                <w:szCs w:val="28"/>
                              </w:rPr>
                            </w:pPr>
                            <w:r>
                              <w:rPr>
                                <w:rFonts w:ascii="微軟正黑體" w:eastAsia="微軟正黑體" w:hAnsi="微軟正黑體" w:cs="微軟正黑體" w:hint="eastAsia"/>
                                <w:b/>
                                <w:color w:val="000000"/>
                                <w:sz w:val="28"/>
                                <w:szCs w:val="28"/>
                              </w:rPr>
                              <w:t>劉建志</w:t>
                            </w:r>
                            <w:r w:rsidR="006860D3">
                              <w:rPr>
                                <w:rFonts w:ascii="微軟正黑體" w:eastAsia="微軟正黑體" w:hAnsi="微軟正黑體" w:cs="微軟正黑體"/>
                                <w:b/>
                                <w:color w:val="000000"/>
                                <w:sz w:val="28"/>
                                <w:szCs w:val="28"/>
                              </w:rPr>
                              <w:t xml:space="preserve"> 科員</w:t>
                            </w:r>
                          </w:p>
                          <w:p w14:paraId="2782FA1E" w14:textId="77777777" w:rsidR="00960736" w:rsidRDefault="006860D3">
                            <w:pPr>
                              <w:pStyle w:val="Standard"/>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電話:</w:t>
                            </w:r>
                          </w:p>
                          <w:p w14:paraId="66C2153B" w14:textId="77777777" w:rsidR="00960736" w:rsidRDefault="006860D3">
                            <w:pPr>
                              <w:pStyle w:val="Standard"/>
                              <w:jc w:val="both"/>
                              <w:rPr>
                                <w:rFonts w:ascii="微軟正黑體" w:eastAsia="微軟正黑體" w:hAnsi="微軟正黑體" w:cs="微軟正黑體"/>
                                <w:b/>
                                <w:sz w:val="28"/>
                                <w:szCs w:val="28"/>
                              </w:rPr>
                            </w:pPr>
                            <w:r>
                              <w:rPr>
                                <w:rFonts w:ascii="微軟正黑體" w:eastAsia="微軟正黑體" w:hAnsi="微軟正黑體" w:cs="微軟正黑體"/>
                                <w:b/>
                                <w:sz w:val="28"/>
                                <w:szCs w:val="28"/>
                              </w:rPr>
                              <w:t>05-5325707*</w:t>
                            </w:r>
                            <w:r w:rsidR="00324018">
                              <w:rPr>
                                <w:rFonts w:ascii="微軟正黑體" w:eastAsia="微軟正黑體" w:hAnsi="微軟正黑體" w:cs="微軟正黑體"/>
                                <w:b/>
                                <w:sz w:val="28"/>
                                <w:szCs w:val="28"/>
                              </w:rPr>
                              <w:t>215</w:t>
                            </w:r>
                          </w:p>
                        </w:tc>
                      </w:tr>
                      <w:tr w:rsidR="00960736" w14:paraId="6C94CF18" w14:textId="77777777">
                        <w:trPr>
                          <w:cantSplit/>
                          <w:trHeight w:val="350"/>
                        </w:trPr>
                        <w:tc>
                          <w:tcPr>
                            <w:tcW w:w="10705" w:type="dxa"/>
                            <w:gridSpan w:val="4"/>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50E7EDA6" w14:textId="77777777" w:rsidR="00960736" w:rsidRDefault="00960736">
                            <w:pPr>
                              <w:pStyle w:val="Standard"/>
                              <w:snapToGrid w:val="0"/>
                              <w:rPr>
                                <w:rFonts w:ascii="微軟正黑體" w:eastAsia="微軟正黑體" w:hAnsi="微軟正黑體" w:cs="微軟正黑體"/>
                                <w:sz w:val="28"/>
                                <w:szCs w:val="28"/>
                              </w:rPr>
                            </w:pPr>
                          </w:p>
                        </w:tc>
                      </w:tr>
                      <w:tr w:rsidR="00960736" w14:paraId="75514FD3" w14:textId="77777777">
                        <w:trPr>
                          <w:cantSplit/>
                          <w:trHeight w:val="460"/>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9CB19" w14:textId="77777777" w:rsidR="00960736" w:rsidRDefault="006860D3">
                            <w:pPr>
                              <w:pStyle w:val="Standard"/>
                              <w:spacing w:before="180" w:after="180" w:line="400" w:lineRule="exact"/>
                              <w:jc w:val="center"/>
                            </w:pPr>
                            <w:proofErr w:type="gramStart"/>
                            <w:r>
                              <w:rPr>
                                <w:rFonts w:ascii="標楷體" w:eastAsia="標楷體" w:hAnsi="標楷體"/>
                                <w:b/>
                                <w:sz w:val="40"/>
                                <w:szCs w:val="40"/>
                              </w:rPr>
                              <w:t>災防告警</w:t>
                            </w:r>
                            <w:proofErr w:type="gramEnd"/>
                            <w:r>
                              <w:rPr>
                                <w:rFonts w:ascii="標楷體" w:eastAsia="標楷體" w:hAnsi="標楷體"/>
                                <w:b/>
                                <w:sz w:val="40"/>
                                <w:szCs w:val="40"/>
                              </w:rPr>
                              <w:t>細胞廣播服務訊息CBS測試發布新聞稿</w:t>
                            </w:r>
                          </w:p>
                        </w:tc>
                      </w:tr>
                      <w:tr w:rsidR="00960736" w14:paraId="3BEDC9E2" w14:textId="77777777">
                        <w:trPr>
                          <w:cantSplit/>
                          <w:trHeight w:val="10093"/>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5860" w14:textId="4D26F988" w:rsidR="00960736" w:rsidRDefault="006860D3">
                            <w:pPr>
                              <w:spacing w:line="500" w:lineRule="exact"/>
                              <w:rPr>
                                <w:rFonts w:hint="eastAsia"/>
                              </w:rPr>
                            </w:pPr>
                            <w:r>
                              <w:rPr>
                                <w:rFonts w:ascii="標楷體" w:eastAsia="標楷體" w:hAnsi="標楷體"/>
                                <w:sz w:val="28"/>
                                <w:szCs w:val="28"/>
                              </w:rPr>
                              <w:t xml:space="preserve">    </w:t>
                            </w:r>
                            <w:r>
                              <w:rPr>
                                <w:rFonts w:ascii="標楷體" w:eastAsia="標楷體" w:hAnsi="標楷體"/>
                                <w:sz w:val="32"/>
                                <w:szCs w:val="28"/>
                              </w:rPr>
                              <w:t>本縣為因應大規模災害發生或有發生之虞並需進行疏散避難時，能迅速將疏散避難訊息</w:t>
                            </w:r>
                            <w:proofErr w:type="gramStart"/>
                            <w:r>
                              <w:rPr>
                                <w:rFonts w:ascii="標楷體" w:eastAsia="標楷體" w:hAnsi="標楷體"/>
                                <w:sz w:val="32"/>
                                <w:szCs w:val="28"/>
                              </w:rPr>
                              <w:t>透過災防告警</w:t>
                            </w:r>
                            <w:proofErr w:type="gramEnd"/>
                            <w:r>
                              <w:rPr>
                                <w:rFonts w:ascii="標楷體" w:eastAsia="標楷體" w:hAnsi="標楷體"/>
                                <w:sz w:val="32"/>
                                <w:szCs w:val="28"/>
                              </w:rPr>
                              <w:t>細胞廣播服務(CBS)，將相關訊息傳送至民眾手機，訂於</w:t>
                            </w:r>
                            <w:r w:rsidR="005244E1" w:rsidRPr="005244E1">
                              <w:rPr>
                                <w:rFonts w:ascii="標楷體" w:eastAsia="標楷體" w:hAnsi="標楷體"/>
                                <w:color w:val="FF0000"/>
                                <w:sz w:val="32"/>
                                <w:szCs w:val="28"/>
                              </w:rPr>
                              <w:t>7</w:t>
                            </w:r>
                            <w:r w:rsidRPr="005244E1">
                              <w:rPr>
                                <w:rFonts w:ascii="標楷體" w:eastAsia="標楷體" w:hAnsi="標楷體"/>
                                <w:color w:val="FF0000"/>
                                <w:sz w:val="32"/>
                                <w:szCs w:val="28"/>
                              </w:rPr>
                              <w:t>月</w:t>
                            </w:r>
                            <w:r w:rsidR="005244E1" w:rsidRPr="005244E1">
                              <w:rPr>
                                <w:rFonts w:ascii="標楷體" w:eastAsia="標楷體" w:hAnsi="標楷體"/>
                                <w:color w:val="FF0000"/>
                                <w:sz w:val="32"/>
                                <w:szCs w:val="28"/>
                              </w:rPr>
                              <w:t>7</w:t>
                            </w:r>
                            <w:r w:rsidRPr="005244E1">
                              <w:rPr>
                                <w:rFonts w:ascii="標楷體" w:eastAsia="標楷體" w:hAnsi="標楷體"/>
                                <w:color w:val="FF0000"/>
                                <w:sz w:val="32"/>
                                <w:szCs w:val="28"/>
                              </w:rPr>
                              <w:t>日(星期</w:t>
                            </w:r>
                            <w:r w:rsidR="005244E1" w:rsidRPr="005244E1">
                              <w:rPr>
                                <w:rFonts w:ascii="標楷體" w:eastAsia="標楷體" w:hAnsi="標楷體" w:hint="eastAsia"/>
                                <w:color w:val="FF0000"/>
                                <w:sz w:val="32"/>
                                <w:szCs w:val="28"/>
                              </w:rPr>
                              <w:t>二</w:t>
                            </w:r>
                            <w:r w:rsidRPr="005244E1">
                              <w:rPr>
                                <w:rFonts w:ascii="標楷體" w:eastAsia="標楷體" w:hAnsi="標楷體"/>
                                <w:color w:val="FF0000"/>
                                <w:sz w:val="32"/>
                                <w:szCs w:val="28"/>
                              </w:rPr>
                              <w:t>)1</w:t>
                            </w:r>
                            <w:r w:rsidR="00D37442" w:rsidRPr="005244E1">
                              <w:rPr>
                                <w:rFonts w:ascii="標楷體" w:eastAsia="標楷體" w:hAnsi="標楷體"/>
                                <w:color w:val="FF0000"/>
                                <w:sz w:val="32"/>
                                <w:szCs w:val="28"/>
                              </w:rPr>
                              <w:t>4</w:t>
                            </w:r>
                            <w:r w:rsidRPr="005244E1">
                              <w:rPr>
                                <w:rFonts w:ascii="標楷體" w:eastAsia="標楷體" w:hAnsi="標楷體"/>
                                <w:color w:val="FF0000"/>
                                <w:sz w:val="32"/>
                                <w:szCs w:val="28"/>
                              </w:rPr>
                              <w:t>時至</w:t>
                            </w:r>
                            <w:r w:rsidR="0044771F" w:rsidRPr="005244E1">
                              <w:rPr>
                                <w:rFonts w:ascii="標楷體" w:eastAsia="標楷體" w:hAnsi="標楷體" w:hint="eastAsia"/>
                                <w:color w:val="FF0000"/>
                                <w:sz w:val="32"/>
                                <w:szCs w:val="28"/>
                              </w:rPr>
                              <w:t>1</w:t>
                            </w:r>
                            <w:r w:rsidR="005244E1" w:rsidRPr="005244E1">
                              <w:rPr>
                                <w:rFonts w:ascii="標楷體" w:eastAsia="標楷體" w:hAnsi="標楷體"/>
                                <w:color w:val="FF0000"/>
                                <w:sz w:val="32"/>
                                <w:szCs w:val="28"/>
                              </w:rPr>
                              <w:t>4</w:t>
                            </w:r>
                            <w:r w:rsidRPr="005244E1">
                              <w:rPr>
                                <w:rFonts w:ascii="標楷體" w:eastAsia="標楷體" w:hAnsi="標楷體"/>
                                <w:color w:val="FF0000"/>
                                <w:sz w:val="32"/>
                                <w:szCs w:val="28"/>
                              </w:rPr>
                              <w:t>時</w:t>
                            </w:r>
                            <w:r w:rsidR="005244E1" w:rsidRPr="005244E1">
                              <w:rPr>
                                <w:rFonts w:ascii="標楷體" w:eastAsia="標楷體" w:hAnsi="標楷體" w:hint="eastAsia"/>
                                <w:color w:val="FF0000"/>
                                <w:sz w:val="32"/>
                                <w:szCs w:val="28"/>
                              </w:rPr>
                              <w:t>3</w:t>
                            </w:r>
                            <w:r w:rsidR="005244E1" w:rsidRPr="005244E1">
                              <w:rPr>
                                <w:rFonts w:ascii="標楷體" w:eastAsia="標楷體" w:hAnsi="標楷體"/>
                                <w:color w:val="FF0000"/>
                                <w:sz w:val="32"/>
                                <w:szCs w:val="28"/>
                              </w:rPr>
                              <w:t>0</w:t>
                            </w:r>
                            <w:r w:rsidR="005244E1" w:rsidRPr="005244E1">
                              <w:rPr>
                                <w:rFonts w:ascii="標楷體" w:eastAsia="標楷體" w:hAnsi="標楷體" w:hint="eastAsia"/>
                                <w:color w:val="FF0000"/>
                                <w:sz w:val="32"/>
                                <w:szCs w:val="28"/>
                              </w:rPr>
                              <w:t>分</w:t>
                            </w:r>
                            <w:r w:rsidRPr="005244E1">
                              <w:rPr>
                                <w:rFonts w:ascii="標楷體" w:eastAsia="標楷體" w:hAnsi="標楷體"/>
                                <w:color w:val="FF0000"/>
                                <w:sz w:val="32"/>
                                <w:szCs w:val="28"/>
                              </w:rPr>
                              <w:t>針對本縣</w:t>
                            </w:r>
                            <w:r w:rsidR="005244E1" w:rsidRPr="005244E1">
                              <w:rPr>
                                <w:rFonts w:ascii="標楷體" w:eastAsia="標楷體" w:hAnsi="標楷體" w:hint="eastAsia"/>
                                <w:color w:val="FF0000"/>
                                <w:sz w:val="32"/>
                                <w:szCs w:val="28"/>
                              </w:rPr>
                              <w:t>虎尾</w:t>
                            </w:r>
                            <w:r w:rsidR="00D37442" w:rsidRPr="005244E1">
                              <w:rPr>
                                <w:rFonts w:ascii="標楷體" w:eastAsia="標楷體" w:hAnsi="標楷體" w:hint="eastAsia"/>
                                <w:color w:val="FF0000"/>
                                <w:sz w:val="32"/>
                                <w:szCs w:val="28"/>
                              </w:rPr>
                              <w:t>鎮</w:t>
                            </w:r>
                            <w:r>
                              <w:rPr>
                                <w:rFonts w:ascii="標楷體" w:eastAsia="標楷體" w:hAnsi="標楷體"/>
                                <w:sz w:val="32"/>
                                <w:szCs w:val="28"/>
                              </w:rPr>
                              <w:t>發布「疏散避難警報」</w:t>
                            </w:r>
                            <w:proofErr w:type="gramStart"/>
                            <w:r>
                              <w:rPr>
                                <w:rFonts w:ascii="標楷體" w:eastAsia="標楷體" w:hAnsi="標楷體"/>
                                <w:sz w:val="32"/>
                                <w:szCs w:val="28"/>
                              </w:rPr>
                              <w:t>災防告警</w:t>
                            </w:r>
                            <w:proofErr w:type="gramEnd"/>
                            <w:r>
                              <w:rPr>
                                <w:rFonts w:ascii="標楷體" w:eastAsia="標楷體" w:hAnsi="標楷體"/>
                                <w:sz w:val="32"/>
                                <w:szCs w:val="28"/>
                              </w:rPr>
                              <w:t>訊息，此訊息為演習測試所發送，相關區域無災害或異常狀況，請民眾安心。</w:t>
                            </w:r>
                          </w:p>
                          <w:p w14:paraId="2FFB2521" w14:textId="20789498" w:rsidR="00960736" w:rsidRDefault="006860D3">
                            <w:pPr>
                              <w:spacing w:line="500" w:lineRule="exact"/>
                              <w:rPr>
                                <w:rFonts w:ascii="標楷體" w:eastAsia="標楷體" w:hAnsi="標楷體"/>
                                <w:sz w:val="32"/>
                                <w:szCs w:val="28"/>
                              </w:rPr>
                            </w:pPr>
                            <w:r>
                              <w:rPr>
                                <w:rFonts w:ascii="標楷體" w:eastAsia="標楷體" w:hAnsi="標楷體"/>
                                <w:sz w:val="32"/>
                                <w:szCs w:val="28"/>
                              </w:rPr>
                              <w:t xml:space="preserve">    本</w:t>
                            </w:r>
                            <w:proofErr w:type="gramStart"/>
                            <w:r>
                              <w:rPr>
                                <w:rFonts w:ascii="標楷體" w:eastAsia="標楷體" w:hAnsi="標楷體"/>
                                <w:sz w:val="32"/>
                                <w:szCs w:val="28"/>
                              </w:rPr>
                              <w:t>次災防告警</w:t>
                            </w:r>
                            <w:proofErr w:type="gramEnd"/>
                            <w:r>
                              <w:rPr>
                                <w:rFonts w:ascii="標楷體" w:eastAsia="標楷體" w:hAnsi="標楷體"/>
                                <w:sz w:val="32"/>
                                <w:szCs w:val="28"/>
                              </w:rPr>
                              <w:t>訊息測試是為了在緊急狀況發生的時候，能確實透過電信業者向指定地區內的4G手機廣播發送告警訊息，讓民眾可以即時獲得最新災害消息，採取應變措施，往後如本縣有發生大規模緊急災害事件需請民眾立即進行疏散撤離時，即會透過像測試所發布</w:t>
                            </w:r>
                            <w:proofErr w:type="gramStart"/>
                            <w:r>
                              <w:rPr>
                                <w:rFonts w:ascii="標楷體" w:eastAsia="標楷體" w:hAnsi="標楷體"/>
                                <w:sz w:val="32"/>
                                <w:szCs w:val="28"/>
                              </w:rPr>
                              <w:t>之災防告警</w:t>
                            </w:r>
                            <w:proofErr w:type="gramEnd"/>
                            <w:r>
                              <w:rPr>
                                <w:rFonts w:ascii="標楷體" w:eastAsia="標楷體" w:hAnsi="標楷體"/>
                                <w:sz w:val="32"/>
                                <w:szCs w:val="28"/>
                              </w:rPr>
                              <w:t>訊息，將災害訊息及相關避難措施即時發布給民眾，屆時請民眾</w:t>
                            </w:r>
                            <w:proofErr w:type="gramStart"/>
                            <w:r>
                              <w:rPr>
                                <w:rFonts w:ascii="標楷體" w:eastAsia="標楷體" w:hAnsi="標楷體"/>
                                <w:sz w:val="32"/>
                                <w:szCs w:val="28"/>
                              </w:rPr>
                              <w:t>配合災防告警</w:t>
                            </w:r>
                            <w:proofErr w:type="gramEnd"/>
                            <w:r>
                              <w:rPr>
                                <w:rFonts w:ascii="標楷體" w:eastAsia="標楷體" w:hAnsi="標楷體"/>
                                <w:sz w:val="32"/>
                                <w:szCs w:val="28"/>
                              </w:rPr>
                              <w:t xml:space="preserve">訊息，進行相關避難措施。 </w:t>
                            </w:r>
                          </w:p>
                          <w:p w14:paraId="50CC3D0D" w14:textId="77777777" w:rsidR="00960736" w:rsidRDefault="00960736">
                            <w:pPr>
                              <w:spacing w:line="500" w:lineRule="exact"/>
                              <w:rPr>
                                <w:rFonts w:ascii="標楷體" w:eastAsia="標楷體" w:hAnsi="標楷體"/>
                                <w:sz w:val="32"/>
                                <w:szCs w:val="28"/>
                              </w:rPr>
                            </w:pPr>
                          </w:p>
                          <w:p w14:paraId="464F024D" w14:textId="77777777" w:rsidR="00960736" w:rsidRDefault="006860D3">
                            <w:pPr>
                              <w:spacing w:line="500" w:lineRule="exact"/>
                              <w:rPr>
                                <w:rFonts w:ascii="標楷體" w:eastAsia="標楷體" w:hAnsi="標楷體"/>
                                <w:sz w:val="32"/>
                                <w:szCs w:val="28"/>
                              </w:rPr>
                            </w:pPr>
                            <w:r>
                              <w:rPr>
                                <w:rFonts w:ascii="標楷體" w:eastAsia="標楷體" w:hAnsi="標楷體"/>
                                <w:sz w:val="32"/>
                                <w:szCs w:val="28"/>
                              </w:rPr>
                              <w:t>本次測試訊息內容如下：</w:t>
                            </w:r>
                          </w:p>
                          <w:p w14:paraId="1650FC5A" w14:textId="48B9197E" w:rsidR="0044771F" w:rsidRPr="00966111" w:rsidRDefault="00D37442">
                            <w:pPr>
                              <w:spacing w:line="500" w:lineRule="exact"/>
                              <w:rPr>
                                <w:rFonts w:hint="eastAsia"/>
                              </w:rPr>
                            </w:pPr>
                            <w:r w:rsidRPr="00D37442">
                              <w:rPr>
                                <w:rFonts w:ascii="標楷體" w:eastAsia="標楷體" w:hAnsi="標楷體" w:hint="eastAsia"/>
                                <w:sz w:val="32"/>
                                <w:szCs w:val="28"/>
                              </w:rPr>
                              <w:t>[演練][疏散避難][Evacuation Drill]109年</w:t>
                            </w:r>
                            <w:r w:rsidRPr="005244E1">
                              <w:rPr>
                                <w:rFonts w:ascii="標楷體" w:eastAsia="標楷體" w:hAnsi="標楷體" w:hint="eastAsia"/>
                                <w:color w:val="FF0000"/>
                                <w:sz w:val="32"/>
                                <w:szCs w:val="28"/>
                              </w:rPr>
                              <w:t>民安6號演習</w:t>
                            </w:r>
                            <w:r w:rsidRPr="00D37442">
                              <w:rPr>
                                <w:rFonts w:ascii="標楷體" w:eastAsia="標楷體" w:hAnsi="標楷體" w:hint="eastAsia"/>
                                <w:sz w:val="32"/>
                                <w:szCs w:val="28"/>
                              </w:rPr>
                              <w:t>疏散警報發送演練。雲林縣災害應變中心</w:t>
                            </w:r>
                            <w:proofErr w:type="spellStart"/>
                            <w:r w:rsidRPr="00D37442">
                              <w:rPr>
                                <w:rFonts w:ascii="標楷體" w:eastAsia="標楷體" w:hAnsi="標楷體" w:hint="eastAsia"/>
                                <w:sz w:val="32"/>
                                <w:szCs w:val="28"/>
                              </w:rPr>
                              <w:t>Yunlin.EOC</w:t>
                            </w:r>
                            <w:proofErr w:type="spellEnd"/>
                            <w:r w:rsidRPr="00D37442">
                              <w:rPr>
                                <w:rFonts w:ascii="標楷體" w:eastAsia="標楷體" w:hAnsi="標楷體" w:hint="eastAsia"/>
                                <w:sz w:val="32"/>
                                <w:szCs w:val="28"/>
                              </w:rPr>
                              <w:t>，05-5379409*0。</w:t>
                            </w:r>
                          </w:p>
                        </w:tc>
                      </w:tr>
                    </w:tbl>
                    <w:p w14:paraId="2C66BDFE" w14:textId="77777777" w:rsidR="00960736" w:rsidRDefault="00960736">
                      <w:pPr>
                        <w:rPr>
                          <w:rFonts w:hint="eastAsia"/>
                        </w:rPr>
                      </w:pPr>
                    </w:p>
                  </w:txbxContent>
                </v:textbox>
                <w10:wrap type="square"/>
              </v:shape>
            </w:pict>
          </mc:Fallback>
        </mc:AlternateContent>
      </w:r>
    </w:p>
    <w:p w14:paraId="039F7A62" w14:textId="77777777" w:rsidR="00960736" w:rsidRDefault="00960736">
      <w:pPr>
        <w:pStyle w:val="Standard"/>
      </w:pPr>
    </w:p>
    <w:sectPr w:rsidR="00960736">
      <w:pgSz w:w="11906" w:h="16838"/>
      <w:pgMar w:top="719" w:right="227" w:bottom="719" w:left="22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E9E59" w14:textId="77777777" w:rsidR="006F7B75" w:rsidRDefault="006F7B75">
      <w:pPr>
        <w:rPr>
          <w:rFonts w:hint="eastAsia"/>
        </w:rPr>
      </w:pPr>
      <w:r>
        <w:separator/>
      </w:r>
    </w:p>
  </w:endnote>
  <w:endnote w:type="continuationSeparator" w:id="0">
    <w:p w14:paraId="235E0DE2" w14:textId="77777777" w:rsidR="006F7B75" w:rsidRDefault="006F7B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MingLiU">
    <w:charset w:val="00"/>
    <w:family w:val="modern"/>
    <w:pitch w:val="default"/>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BF53E" w14:textId="77777777" w:rsidR="006F7B75" w:rsidRDefault="006F7B75">
      <w:pPr>
        <w:rPr>
          <w:rFonts w:hint="eastAsia"/>
        </w:rPr>
      </w:pPr>
      <w:r>
        <w:rPr>
          <w:color w:val="000000"/>
        </w:rPr>
        <w:separator/>
      </w:r>
    </w:p>
  </w:footnote>
  <w:footnote w:type="continuationSeparator" w:id="0">
    <w:p w14:paraId="0115DB54" w14:textId="77777777" w:rsidR="006F7B75" w:rsidRDefault="006F7B7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7AC"/>
    <w:multiLevelType w:val="multilevel"/>
    <w:tmpl w:val="AC06DBA0"/>
    <w:styleLink w:val="WW8Num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BF970BC"/>
    <w:multiLevelType w:val="multilevel"/>
    <w:tmpl w:val="6F963B5A"/>
    <w:styleLink w:val="WW8Num3"/>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2" w15:restartNumberingAfterBreak="0">
    <w:nsid w:val="0FC076AC"/>
    <w:multiLevelType w:val="multilevel"/>
    <w:tmpl w:val="C7905A38"/>
    <w:styleLink w:val="WW8Num10"/>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170D7C56"/>
    <w:multiLevelType w:val="multilevel"/>
    <w:tmpl w:val="6744362A"/>
    <w:styleLink w:val="WW8Num5"/>
    <w:lvl w:ilvl="0">
      <w:start w:val="1"/>
      <w:numFmt w:val="japaneseCounting"/>
      <w:lvlText w:val="（%1）"/>
      <w:lvlJc w:val="left"/>
      <w:pPr>
        <w:ind w:left="1560" w:hanging="10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1C545B0"/>
    <w:multiLevelType w:val="multilevel"/>
    <w:tmpl w:val="772C4940"/>
    <w:styleLink w:val="WW8Num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8805F5E"/>
    <w:multiLevelType w:val="multilevel"/>
    <w:tmpl w:val="E65AC1FA"/>
    <w:styleLink w:val="WW8Num6"/>
    <w:lvl w:ilvl="0">
      <w:start w:val="1"/>
      <w:numFmt w:val="decimal"/>
      <w:lvlText w:val="%1."/>
      <w:lvlJc w:val="left"/>
      <w:pPr>
        <w:ind w:left="720" w:hanging="360"/>
      </w:pPr>
    </w:lvl>
    <w:lvl w:ilvl="1">
      <w:numFmt w:val="bullet"/>
      <w:lvlText w:val="•"/>
      <w:lvlJc w:val="left"/>
      <w:pPr>
        <w:ind w:left="1440" w:hanging="360"/>
      </w:pPr>
      <w:rPr>
        <w:rFonts w:ascii="新細明體, PMingLiU" w:hAnsi="新細明體, PMingLiU" w:cs="新細明體, PMingLiU"/>
      </w:rPr>
    </w:lvl>
    <w:lvl w:ilvl="2">
      <w:numFmt w:val="bullet"/>
      <w:lvlText w:val="•"/>
      <w:lvlJc w:val="left"/>
      <w:pPr>
        <w:ind w:left="2160" w:hanging="360"/>
      </w:pPr>
      <w:rPr>
        <w:rFonts w:ascii="新細明體, PMingLiU" w:hAnsi="新細明體, PMingLiU" w:cs="新細明體, PMingLiU"/>
      </w:rPr>
    </w:lvl>
    <w:lvl w:ilvl="3">
      <w:numFmt w:val="bullet"/>
      <w:lvlText w:val="•"/>
      <w:lvlJc w:val="left"/>
      <w:pPr>
        <w:ind w:left="2880" w:hanging="360"/>
      </w:pPr>
      <w:rPr>
        <w:rFonts w:ascii="新細明體, PMingLiU" w:hAnsi="新細明體, PMingLiU" w:cs="新細明體, PMingLiU"/>
      </w:rPr>
    </w:lvl>
    <w:lvl w:ilvl="4">
      <w:numFmt w:val="bullet"/>
      <w:lvlText w:val="•"/>
      <w:lvlJc w:val="left"/>
      <w:pPr>
        <w:ind w:left="3600" w:hanging="360"/>
      </w:pPr>
      <w:rPr>
        <w:rFonts w:ascii="新細明體, PMingLiU" w:hAnsi="新細明體, PMingLiU" w:cs="新細明體, PMingLiU"/>
      </w:rPr>
    </w:lvl>
    <w:lvl w:ilvl="5">
      <w:numFmt w:val="bullet"/>
      <w:lvlText w:val="•"/>
      <w:lvlJc w:val="left"/>
      <w:pPr>
        <w:ind w:left="4320" w:hanging="360"/>
      </w:pPr>
      <w:rPr>
        <w:rFonts w:ascii="新細明體, PMingLiU" w:hAnsi="新細明體, PMingLiU" w:cs="新細明體, PMingLiU"/>
      </w:rPr>
    </w:lvl>
    <w:lvl w:ilvl="6">
      <w:numFmt w:val="bullet"/>
      <w:lvlText w:val="•"/>
      <w:lvlJc w:val="left"/>
      <w:pPr>
        <w:ind w:left="5040" w:hanging="360"/>
      </w:pPr>
      <w:rPr>
        <w:rFonts w:ascii="新細明體, PMingLiU" w:hAnsi="新細明體, PMingLiU" w:cs="新細明體, PMingLiU"/>
      </w:rPr>
    </w:lvl>
    <w:lvl w:ilvl="7">
      <w:numFmt w:val="bullet"/>
      <w:lvlText w:val="•"/>
      <w:lvlJc w:val="left"/>
      <w:pPr>
        <w:ind w:left="5760" w:hanging="360"/>
      </w:pPr>
      <w:rPr>
        <w:rFonts w:ascii="新細明體, PMingLiU" w:hAnsi="新細明體, PMingLiU" w:cs="新細明體, PMingLiU"/>
      </w:rPr>
    </w:lvl>
    <w:lvl w:ilvl="8">
      <w:numFmt w:val="bullet"/>
      <w:lvlText w:val="•"/>
      <w:lvlJc w:val="left"/>
      <w:pPr>
        <w:ind w:left="6480" w:hanging="360"/>
      </w:pPr>
      <w:rPr>
        <w:rFonts w:ascii="新細明體, PMingLiU" w:hAnsi="新細明體, PMingLiU" w:cs="新細明體, PMingLiU"/>
      </w:rPr>
    </w:lvl>
  </w:abstractNum>
  <w:abstractNum w:abstractNumId="6" w15:restartNumberingAfterBreak="0">
    <w:nsid w:val="2E2870DF"/>
    <w:multiLevelType w:val="multilevel"/>
    <w:tmpl w:val="BB8804AA"/>
    <w:styleLink w:val="WW8Num4"/>
    <w:lvl w:ilvl="0">
      <w:numFmt w:val="bullet"/>
      <w:lvlText w:val="•"/>
      <w:lvlJc w:val="left"/>
      <w:pPr>
        <w:ind w:left="720" w:hanging="360"/>
      </w:pPr>
      <w:rPr>
        <w:rFonts w:ascii="新細明體, PMingLiU" w:hAnsi="新細明體, PMingLiU" w:cs="新細明體, PMingLiU"/>
      </w:rPr>
    </w:lvl>
    <w:lvl w:ilvl="1">
      <w:numFmt w:val="bullet"/>
      <w:lvlText w:val="•"/>
      <w:lvlJc w:val="left"/>
      <w:pPr>
        <w:ind w:left="1440" w:hanging="360"/>
      </w:pPr>
      <w:rPr>
        <w:rFonts w:ascii="新細明體, PMingLiU" w:hAnsi="新細明體, PMingLiU" w:cs="新細明體, PMingLiU"/>
      </w:rPr>
    </w:lvl>
    <w:lvl w:ilvl="2">
      <w:numFmt w:val="bullet"/>
      <w:lvlText w:val="•"/>
      <w:lvlJc w:val="left"/>
      <w:pPr>
        <w:ind w:left="2160" w:hanging="360"/>
      </w:pPr>
      <w:rPr>
        <w:rFonts w:ascii="新細明體, PMingLiU" w:hAnsi="新細明體, PMingLiU" w:cs="新細明體, PMingLiU"/>
      </w:rPr>
    </w:lvl>
    <w:lvl w:ilvl="3">
      <w:numFmt w:val="bullet"/>
      <w:lvlText w:val="•"/>
      <w:lvlJc w:val="left"/>
      <w:pPr>
        <w:ind w:left="2880" w:hanging="360"/>
      </w:pPr>
      <w:rPr>
        <w:rFonts w:ascii="新細明體, PMingLiU" w:hAnsi="新細明體, PMingLiU" w:cs="新細明體, PMingLiU"/>
      </w:rPr>
    </w:lvl>
    <w:lvl w:ilvl="4">
      <w:numFmt w:val="bullet"/>
      <w:lvlText w:val="•"/>
      <w:lvlJc w:val="left"/>
      <w:pPr>
        <w:ind w:left="3600" w:hanging="360"/>
      </w:pPr>
      <w:rPr>
        <w:rFonts w:ascii="新細明體, PMingLiU" w:hAnsi="新細明體, PMingLiU" w:cs="新細明體, PMingLiU"/>
      </w:rPr>
    </w:lvl>
    <w:lvl w:ilvl="5">
      <w:numFmt w:val="bullet"/>
      <w:lvlText w:val="•"/>
      <w:lvlJc w:val="left"/>
      <w:pPr>
        <w:ind w:left="4320" w:hanging="360"/>
      </w:pPr>
      <w:rPr>
        <w:rFonts w:ascii="新細明體, PMingLiU" w:hAnsi="新細明體, PMingLiU" w:cs="新細明體, PMingLiU"/>
      </w:rPr>
    </w:lvl>
    <w:lvl w:ilvl="6">
      <w:numFmt w:val="bullet"/>
      <w:lvlText w:val="•"/>
      <w:lvlJc w:val="left"/>
      <w:pPr>
        <w:ind w:left="5040" w:hanging="360"/>
      </w:pPr>
      <w:rPr>
        <w:rFonts w:ascii="新細明體, PMingLiU" w:hAnsi="新細明體, PMingLiU" w:cs="新細明體, PMingLiU"/>
      </w:rPr>
    </w:lvl>
    <w:lvl w:ilvl="7">
      <w:numFmt w:val="bullet"/>
      <w:lvlText w:val="•"/>
      <w:lvlJc w:val="left"/>
      <w:pPr>
        <w:ind w:left="5760" w:hanging="360"/>
      </w:pPr>
      <w:rPr>
        <w:rFonts w:ascii="新細明體, PMingLiU" w:hAnsi="新細明體, PMingLiU" w:cs="新細明體, PMingLiU"/>
      </w:rPr>
    </w:lvl>
    <w:lvl w:ilvl="8">
      <w:numFmt w:val="bullet"/>
      <w:lvlText w:val="•"/>
      <w:lvlJc w:val="left"/>
      <w:pPr>
        <w:ind w:left="6480" w:hanging="360"/>
      </w:pPr>
      <w:rPr>
        <w:rFonts w:ascii="新細明體, PMingLiU" w:hAnsi="新細明體, PMingLiU" w:cs="新細明體, PMingLiU"/>
      </w:rPr>
    </w:lvl>
  </w:abstractNum>
  <w:abstractNum w:abstractNumId="7" w15:restartNumberingAfterBreak="0">
    <w:nsid w:val="3B806AFB"/>
    <w:multiLevelType w:val="multilevel"/>
    <w:tmpl w:val="BF107886"/>
    <w:styleLink w:val="WW8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2BD1734"/>
    <w:multiLevelType w:val="multilevel"/>
    <w:tmpl w:val="D368D2FE"/>
    <w:styleLink w:val="WW8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0505524"/>
    <w:multiLevelType w:val="multilevel"/>
    <w:tmpl w:val="3F481362"/>
    <w:styleLink w:val="WW8Num1"/>
    <w:lvl w:ilvl="0">
      <w:start w:val="1"/>
      <w:numFmt w:val="japaneseCount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C3A4841"/>
    <w:multiLevelType w:val="multilevel"/>
    <w:tmpl w:val="369EB340"/>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0"/>
  </w:num>
  <w:num w:numId="3">
    <w:abstractNumId w:val="1"/>
  </w:num>
  <w:num w:numId="4">
    <w:abstractNumId w:val="6"/>
  </w:num>
  <w:num w:numId="5">
    <w:abstractNumId w:val="3"/>
  </w:num>
  <w:num w:numId="6">
    <w:abstractNumId w:val="5"/>
  </w:num>
  <w:num w:numId="7">
    <w:abstractNumId w:val="4"/>
  </w:num>
  <w:num w:numId="8">
    <w:abstractNumId w:val="8"/>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1F"/>
    <w:rsid w:val="00324018"/>
    <w:rsid w:val="004401F9"/>
    <w:rsid w:val="0044771F"/>
    <w:rsid w:val="00453413"/>
    <w:rsid w:val="00466EB8"/>
    <w:rsid w:val="005244E1"/>
    <w:rsid w:val="005F1CE8"/>
    <w:rsid w:val="006860D3"/>
    <w:rsid w:val="006F7B75"/>
    <w:rsid w:val="00747FE5"/>
    <w:rsid w:val="00960736"/>
    <w:rsid w:val="00966111"/>
    <w:rsid w:val="00994877"/>
    <w:rsid w:val="00B02B44"/>
    <w:rsid w:val="00D374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1E25"/>
  <w15:docId w15:val="{D217E8D8-FDD4-40F4-AD24-37C08C78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Mang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Wingdings" w:hAnsi="Wingdings" w:cs="Wingdings"/>
    </w:rPr>
  </w:style>
  <w:style w:type="character" w:customStyle="1" w:styleId="WW8Num4z0">
    <w:name w:val="WW8Num4z0"/>
    <w:rPr>
      <w:rFonts w:ascii="新細明體, PMingLiU" w:eastAsia="新細明體, PMingLiU" w:hAnsi="新細明體, PMingLiU" w:cs="新細明體, PMingLiU"/>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新細明體, PMingLiU" w:eastAsia="新細明體, PMingLiU" w:hAnsi="新細明體, PMingLiU" w:cs="新細明體, PMingLiU"/>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a">
    <w:name w:val="annotation reference"/>
    <w:rPr>
      <w:sz w:val="18"/>
      <w:szCs w:val="18"/>
    </w:rPr>
  </w:style>
  <w:style w:type="character" w:customStyle="1" w:styleId="1">
    <w:name w:val="字元 字元1"/>
    <w:rPr>
      <w:kern w:val="3"/>
    </w:rPr>
  </w:style>
  <w:style w:type="character" w:customStyle="1" w:styleId="ab">
    <w:name w:val="字元 字元"/>
    <w:rPr>
      <w:kern w:val="3"/>
    </w:rPr>
  </w:style>
  <w:style w:type="character" w:customStyle="1" w:styleId="newarticle1">
    <w:name w:val="new_article1"/>
    <w:rPr>
      <w:color w:val="000000"/>
      <w:sz w:val="24"/>
      <w:szCs w:val="24"/>
    </w:rPr>
  </w:style>
  <w:style w:type="character" w:customStyle="1" w:styleId="font18big1">
    <w:name w:val="font_18_big1"/>
    <w:rPr>
      <w:color w:val="333333"/>
      <w:sz w:val="22"/>
      <w:szCs w:val="22"/>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mainfont801">
    <w:name w:val="main_font801"/>
    <w:rPr>
      <w:rFonts w:ascii="Verdana" w:eastAsia="Verdana" w:hAnsi="Verdana" w:cs="Verdana"/>
      <w:color w:val="797979"/>
      <w:spacing w:val="20"/>
      <w:sz w:val="23"/>
      <w:szCs w:val="23"/>
    </w:rPr>
  </w:style>
  <w:style w:type="character" w:customStyle="1" w:styleId="maintitle801">
    <w:name w:val="main_title801"/>
    <w:rPr>
      <w:rFonts w:ascii="Verdana" w:eastAsia="Verdana" w:hAnsi="Verdana" w:cs="Verdana"/>
      <w:strike w:val="0"/>
      <w:dstrike w:val="0"/>
      <w:color w:val="333333"/>
      <w:spacing w:val="20"/>
      <w:sz w:val="23"/>
      <w:szCs w:val="23"/>
      <w:u w:val="none"/>
    </w:rPr>
  </w:style>
  <w:style w:type="character" w:customStyle="1" w:styleId="textlink">
    <w:name w:val="textlink"/>
    <w:rPr>
      <w:rFonts w:ascii="微軟正黑體" w:eastAsia="微軟正黑體" w:hAnsi="微軟正黑體" w:cs="微軟正黑體"/>
      <w:sz w:val="27"/>
      <w:szCs w:val="27"/>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426;&#30343;\Desktop\108&#20845;&#36629;&#24288;&#22806;&#28436;&#32244;\CBS\2.&#24220;&#20989;-1080912&#23526;&#26045;CBS...&#30332;&#36865;&#26032;&#32862;&#31295;\&#26032;&#32862;&#31295;-1080912%20CBS&#30332;&#36865;-&#26032;&#26684;&#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新聞稿-1080912 CBS發送-新格式</Template>
  <TotalTime>9</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俊皇</dc:creator>
  <cp:keywords/>
  <cp:lastModifiedBy>俊皇</cp:lastModifiedBy>
  <cp:revision>6</cp:revision>
  <cp:lastPrinted>2020-03-03T11:27:00Z</cp:lastPrinted>
  <dcterms:created xsi:type="dcterms:W3CDTF">2019-08-28T04:50:00Z</dcterms:created>
  <dcterms:modified xsi:type="dcterms:W3CDTF">2020-06-11T11:17:00Z</dcterms:modified>
</cp:coreProperties>
</file>