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302" w:rsidRPr="00A139D5" w:rsidRDefault="00472302" w:rsidP="00472302">
      <w:pPr>
        <w:pStyle w:val="1"/>
        <w:spacing w:line="300" w:lineRule="exact"/>
        <w:jc w:val="left"/>
        <w:rPr>
          <w:rFonts w:ascii="Times New Roman" w:hAnsi="Times New Roman"/>
          <w:spacing w:val="17"/>
          <w:sz w:val="28"/>
          <w:szCs w:val="28"/>
        </w:rPr>
      </w:pPr>
      <w:r w:rsidRPr="00367212">
        <w:rPr>
          <w:rFonts w:ascii="Times New Roman" w:hAnsi="Times New Roman"/>
          <w:spacing w:val="17"/>
          <w:sz w:val="28"/>
          <w:szCs w:val="28"/>
        </w:rPr>
        <w:t>1761-03-01-</w:t>
      </w:r>
      <w:r>
        <w:rPr>
          <w:rFonts w:ascii="Times New Roman" w:hAnsi="Times New Roman" w:hint="eastAsia"/>
          <w:spacing w:val="17"/>
          <w:sz w:val="28"/>
          <w:szCs w:val="28"/>
        </w:rPr>
        <w:t>2</w:t>
      </w:r>
    </w:p>
    <w:p w:rsidR="00472302" w:rsidRPr="004240FB" w:rsidRDefault="00472302" w:rsidP="00472302">
      <w:pPr>
        <w:pStyle w:val="1"/>
        <w:spacing w:after="120" w:line="440" w:lineRule="exact"/>
        <w:rPr>
          <w:rFonts w:ascii="Times New Roman" w:hAnsi="Times New Roman"/>
          <w:sz w:val="36"/>
          <w:szCs w:val="36"/>
        </w:rPr>
      </w:pPr>
      <w:r w:rsidRPr="006D158E">
        <w:rPr>
          <w:rFonts w:ascii="Times New Roman" w:hAnsi="Times New Roman" w:hint="eastAsia"/>
          <w:color w:val="000000"/>
          <w:sz w:val="36"/>
          <w:szCs w:val="36"/>
        </w:rPr>
        <w:t>雲林</w:t>
      </w:r>
      <w:r>
        <w:rPr>
          <w:rFonts w:ascii="Times New Roman" w:hAnsi="Times New Roman" w:hint="eastAsia"/>
          <w:color w:val="000000"/>
          <w:sz w:val="36"/>
          <w:szCs w:val="36"/>
        </w:rPr>
        <w:t>縣</w:t>
      </w:r>
      <w:r w:rsidRPr="004240FB">
        <w:rPr>
          <w:rFonts w:ascii="Times New Roman" w:hAnsi="新細明體" w:hint="eastAsia"/>
          <w:sz w:val="36"/>
          <w:szCs w:val="36"/>
        </w:rPr>
        <w:t>液化石油氣消防安全檢查</w:t>
      </w:r>
      <w:r w:rsidRPr="004240FB">
        <w:rPr>
          <w:rFonts w:ascii="Times New Roman" w:hAnsi="新細明體" w:hint="eastAsia"/>
          <w:color w:val="FF0000"/>
          <w:sz w:val="36"/>
          <w:szCs w:val="36"/>
        </w:rPr>
        <w:t>及違規取締</w:t>
      </w:r>
      <w:r w:rsidRPr="004240FB">
        <w:rPr>
          <w:rFonts w:ascii="Times New Roman" w:hAnsi="新細明體" w:hint="eastAsia"/>
          <w:sz w:val="36"/>
          <w:szCs w:val="36"/>
        </w:rPr>
        <w:t>編製說明</w:t>
      </w:r>
    </w:p>
    <w:p w:rsidR="00472302" w:rsidRPr="004240FB" w:rsidRDefault="00472302" w:rsidP="00472302">
      <w:pPr>
        <w:pStyle w:val="10"/>
        <w:spacing w:line="280" w:lineRule="exact"/>
        <w:rPr>
          <w:rFonts w:ascii="Times New Roman" w:hAnsi="Times New Roman"/>
          <w:spacing w:val="17"/>
          <w:sz w:val="24"/>
          <w:szCs w:val="24"/>
        </w:rPr>
      </w:pPr>
      <w:r w:rsidRPr="004240FB">
        <w:rPr>
          <w:rFonts w:ascii="Times New Roman" w:hAnsi="新細明體" w:hint="eastAsia"/>
          <w:spacing w:val="17"/>
          <w:sz w:val="24"/>
          <w:szCs w:val="24"/>
        </w:rPr>
        <w:t>一、統計範圍及對象：凡</w:t>
      </w:r>
      <w:r w:rsidRPr="00DC0AC9">
        <w:rPr>
          <w:rFonts w:ascii="Times New Roman" w:hAnsi="新細明體" w:hint="eastAsia"/>
          <w:color w:val="FF0000"/>
          <w:spacing w:val="17"/>
          <w:sz w:val="24"/>
          <w:szCs w:val="24"/>
        </w:rPr>
        <w:t>本縣</w:t>
      </w:r>
      <w:r w:rsidRPr="004240FB">
        <w:rPr>
          <w:rFonts w:ascii="Times New Roman" w:hAnsi="新細明體" w:hint="eastAsia"/>
          <w:spacing w:val="17"/>
          <w:sz w:val="24"/>
          <w:szCs w:val="24"/>
        </w:rPr>
        <w:t>液化石油氣分銷商、分裝場、容器檢驗場、容器儲存場所及串接使用場所消防安全設備之查察或違反「公共危險物品及可燃性高壓氣體設置標準暨安全管理辦法」有關液化石油氣部分之安全管理及查察取締事項，</w:t>
      </w:r>
      <w:proofErr w:type="gramStart"/>
      <w:r w:rsidRPr="004240FB">
        <w:rPr>
          <w:rFonts w:ascii="Times New Roman" w:hAnsi="新細明體" w:hint="eastAsia"/>
          <w:spacing w:val="17"/>
          <w:sz w:val="24"/>
          <w:szCs w:val="24"/>
        </w:rPr>
        <w:t>均為統計</w:t>
      </w:r>
      <w:proofErr w:type="gramEnd"/>
      <w:r w:rsidRPr="004240FB">
        <w:rPr>
          <w:rFonts w:ascii="Times New Roman" w:hAnsi="新細明體" w:hint="eastAsia"/>
          <w:spacing w:val="17"/>
          <w:sz w:val="24"/>
          <w:szCs w:val="24"/>
        </w:rPr>
        <w:t>對象。</w:t>
      </w:r>
    </w:p>
    <w:p w:rsidR="00472302" w:rsidRPr="004240FB" w:rsidRDefault="00472302" w:rsidP="00472302">
      <w:pPr>
        <w:pStyle w:val="10"/>
        <w:spacing w:line="280" w:lineRule="exact"/>
        <w:ind w:left="480" w:hangingChars="175" w:hanging="480"/>
        <w:rPr>
          <w:rFonts w:ascii="Times New Roman" w:hAnsi="Times New Roman"/>
          <w:spacing w:val="17"/>
          <w:sz w:val="24"/>
          <w:szCs w:val="24"/>
        </w:rPr>
      </w:pPr>
      <w:r w:rsidRPr="004240FB">
        <w:rPr>
          <w:rFonts w:ascii="Times New Roman" w:hAnsi="新細明體" w:hint="eastAsia"/>
          <w:spacing w:val="17"/>
          <w:sz w:val="24"/>
          <w:szCs w:val="24"/>
        </w:rPr>
        <w:t>二、統計標準時間：</w:t>
      </w:r>
      <w:bookmarkStart w:id="0" w:name="OLE_LINK1"/>
      <w:bookmarkStart w:id="1" w:name="OLE_LINK2"/>
      <w:r w:rsidRPr="004240FB">
        <w:rPr>
          <w:rFonts w:ascii="Times New Roman" w:hAnsi="新細明體" w:hint="eastAsia"/>
          <w:spacing w:val="17"/>
          <w:sz w:val="24"/>
          <w:szCs w:val="24"/>
        </w:rPr>
        <w:t>靜態資料以每月底之事實為</w:t>
      </w:r>
      <w:proofErr w:type="gramStart"/>
      <w:r w:rsidRPr="004240FB">
        <w:rPr>
          <w:rFonts w:ascii="Times New Roman" w:hAnsi="新細明體" w:hint="eastAsia"/>
          <w:spacing w:val="17"/>
          <w:sz w:val="24"/>
          <w:szCs w:val="24"/>
        </w:rPr>
        <w:t>準</w:t>
      </w:r>
      <w:proofErr w:type="gramEnd"/>
      <w:r w:rsidRPr="004240FB">
        <w:rPr>
          <w:rFonts w:ascii="Times New Roman" w:hAnsi="新細明體" w:hint="eastAsia"/>
          <w:spacing w:val="17"/>
          <w:sz w:val="24"/>
          <w:szCs w:val="24"/>
        </w:rPr>
        <w:t>，動態資料以當月</w:t>
      </w:r>
      <w:r w:rsidRPr="004240FB">
        <w:rPr>
          <w:rFonts w:ascii="Times New Roman" w:hAnsi="新細明體" w:hint="eastAsia"/>
          <w:spacing w:val="17"/>
          <w:sz w:val="24"/>
          <w:szCs w:val="24"/>
        </w:rPr>
        <w:t>1</w:t>
      </w:r>
      <w:r w:rsidRPr="004240FB">
        <w:rPr>
          <w:rFonts w:ascii="Times New Roman" w:hAnsi="新細明體" w:hint="eastAsia"/>
          <w:spacing w:val="17"/>
          <w:sz w:val="24"/>
          <w:szCs w:val="24"/>
        </w:rPr>
        <w:t>日至月底之事實為</w:t>
      </w:r>
      <w:proofErr w:type="gramStart"/>
      <w:r w:rsidRPr="004240FB">
        <w:rPr>
          <w:rFonts w:ascii="Times New Roman" w:hAnsi="新細明體" w:hint="eastAsia"/>
          <w:spacing w:val="17"/>
          <w:sz w:val="24"/>
          <w:szCs w:val="24"/>
        </w:rPr>
        <w:t>準</w:t>
      </w:r>
      <w:proofErr w:type="gramEnd"/>
      <w:r w:rsidRPr="004240FB">
        <w:rPr>
          <w:rFonts w:ascii="Times New Roman" w:hAnsi="新細明體" w:hint="eastAsia"/>
          <w:spacing w:val="17"/>
          <w:sz w:val="24"/>
          <w:szCs w:val="24"/>
        </w:rPr>
        <w:t>。</w:t>
      </w:r>
      <w:bookmarkEnd w:id="0"/>
      <w:bookmarkEnd w:id="1"/>
    </w:p>
    <w:p w:rsidR="00472302" w:rsidRPr="004240FB" w:rsidRDefault="00472302" w:rsidP="00472302">
      <w:pPr>
        <w:pStyle w:val="10"/>
        <w:spacing w:line="280" w:lineRule="exact"/>
        <w:ind w:left="480" w:hangingChars="175" w:hanging="480"/>
        <w:rPr>
          <w:rFonts w:ascii="Times New Roman" w:hAnsi="Times New Roman"/>
          <w:spacing w:val="17"/>
          <w:sz w:val="24"/>
          <w:szCs w:val="24"/>
        </w:rPr>
      </w:pPr>
      <w:r w:rsidRPr="004240FB">
        <w:rPr>
          <w:rFonts w:ascii="Times New Roman" w:hAnsi="新細明體" w:hint="eastAsia"/>
          <w:spacing w:val="17"/>
          <w:sz w:val="24"/>
          <w:szCs w:val="24"/>
        </w:rPr>
        <w:t>三、分類標準：</w:t>
      </w:r>
      <w:proofErr w:type="gramStart"/>
      <w:r w:rsidRPr="004240FB">
        <w:rPr>
          <w:rFonts w:ascii="Times New Roman" w:hAnsi="新細明體" w:hint="eastAsia"/>
          <w:spacing w:val="17"/>
          <w:sz w:val="24"/>
          <w:szCs w:val="24"/>
        </w:rPr>
        <w:t>按期底列管家</w:t>
      </w:r>
      <w:proofErr w:type="gramEnd"/>
      <w:r w:rsidRPr="004240FB">
        <w:rPr>
          <w:rFonts w:ascii="Times New Roman" w:hAnsi="新細明體" w:hint="eastAsia"/>
          <w:spacing w:val="17"/>
          <w:sz w:val="24"/>
          <w:szCs w:val="24"/>
        </w:rPr>
        <w:t>數、檢查情形、</w:t>
      </w:r>
      <w:r w:rsidRPr="004240FB">
        <w:rPr>
          <w:rFonts w:ascii="Times New Roman" w:hAnsi="新細明體" w:hint="eastAsia"/>
          <w:color w:val="FF0000"/>
          <w:spacing w:val="17"/>
          <w:sz w:val="24"/>
          <w:szCs w:val="24"/>
        </w:rPr>
        <w:t>違規取締件次、裁處件次、</w:t>
      </w:r>
      <w:r w:rsidRPr="004240FB">
        <w:rPr>
          <w:rFonts w:ascii="Times New Roman" w:hAnsi="新細明體" w:hint="eastAsia"/>
          <w:spacing w:val="17"/>
          <w:sz w:val="24"/>
          <w:szCs w:val="24"/>
        </w:rPr>
        <w:t>已收繳罰鍰件次及</w:t>
      </w:r>
      <w:r w:rsidRPr="004240FB">
        <w:rPr>
          <w:rFonts w:ascii="Times New Roman" w:hAnsi="新細明體" w:hint="eastAsia"/>
          <w:sz w:val="24"/>
          <w:szCs w:val="24"/>
        </w:rPr>
        <w:t>強制執行件次</w:t>
      </w:r>
      <w:r w:rsidRPr="004240FB">
        <w:rPr>
          <w:rFonts w:ascii="Times New Roman" w:hAnsi="新細明體" w:hint="eastAsia"/>
          <w:spacing w:val="17"/>
          <w:sz w:val="24"/>
          <w:szCs w:val="24"/>
        </w:rPr>
        <w:t>等分類。</w:t>
      </w:r>
    </w:p>
    <w:p w:rsidR="00472302" w:rsidRPr="004240FB" w:rsidRDefault="00472302" w:rsidP="00472302">
      <w:pPr>
        <w:pStyle w:val="10"/>
        <w:spacing w:line="280" w:lineRule="exact"/>
        <w:ind w:left="1135" w:hanging="1135"/>
        <w:rPr>
          <w:rFonts w:ascii="Times New Roman" w:hAnsi="Times New Roman"/>
          <w:spacing w:val="17"/>
          <w:sz w:val="24"/>
          <w:szCs w:val="24"/>
        </w:rPr>
      </w:pPr>
      <w:r w:rsidRPr="004240FB">
        <w:rPr>
          <w:rFonts w:ascii="Times New Roman" w:hAnsi="新細明體" w:hint="eastAsia"/>
          <w:spacing w:val="17"/>
          <w:sz w:val="24"/>
          <w:szCs w:val="24"/>
        </w:rPr>
        <w:t>四、統計</w:t>
      </w:r>
      <w:r>
        <w:rPr>
          <w:rFonts w:ascii="Times New Roman" w:hAnsi="新細明體" w:hint="eastAsia"/>
          <w:spacing w:val="17"/>
          <w:sz w:val="24"/>
          <w:szCs w:val="24"/>
        </w:rPr>
        <w:t>項</w:t>
      </w:r>
      <w:r w:rsidRPr="004240FB">
        <w:rPr>
          <w:rFonts w:ascii="Times New Roman" w:hAnsi="新細明體" w:hint="eastAsia"/>
          <w:spacing w:val="17"/>
          <w:sz w:val="24"/>
          <w:szCs w:val="24"/>
        </w:rPr>
        <w:t>目定義：</w:t>
      </w:r>
    </w:p>
    <w:p w:rsidR="00472302" w:rsidRPr="004240FB" w:rsidRDefault="00472302" w:rsidP="00472302">
      <w:pPr>
        <w:pStyle w:val="2"/>
        <w:spacing w:line="280" w:lineRule="exact"/>
        <w:ind w:leftChars="250" w:left="1438" w:hangingChars="306" w:hanging="838"/>
        <w:rPr>
          <w:rFonts w:ascii="Times New Roman" w:hAnsi="新細明體"/>
          <w:spacing w:val="17"/>
          <w:sz w:val="24"/>
          <w:szCs w:val="24"/>
        </w:rPr>
      </w:pPr>
      <w:r w:rsidRPr="004240FB">
        <w:rPr>
          <w:rFonts w:ascii="Times New Roman" w:hAnsi="新細明體" w:hint="eastAsia"/>
          <w:spacing w:val="17"/>
          <w:sz w:val="24"/>
          <w:szCs w:val="24"/>
        </w:rPr>
        <w:t>（一）</w:t>
      </w:r>
      <w:proofErr w:type="gramStart"/>
      <w:r w:rsidRPr="004240FB">
        <w:rPr>
          <w:rFonts w:ascii="Times New Roman" w:hAnsi="新細明體" w:hint="eastAsia"/>
          <w:spacing w:val="17"/>
          <w:sz w:val="24"/>
          <w:szCs w:val="24"/>
        </w:rPr>
        <w:t>期底列管家</w:t>
      </w:r>
      <w:proofErr w:type="gramEnd"/>
      <w:r w:rsidRPr="004240FB">
        <w:rPr>
          <w:rFonts w:ascii="Times New Roman" w:hAnsi="新細明體" w:hint="eastAsia"/>
          <w:spacing w:val="17"/>
          <w:sz w:val="24"/>
          <w:szCs w:val="24"/>
        </w:rPr>
        <w:t>數：分為液化石油氣分銷商、分裝場、容器檢驗場、容器儲存場所及串接使用場所</w:t>
      </w:r>
      <w:r w:rsidRPr="004240FB">
        <w:rPr>
          <w:rFonts w:ascii="Times New Roman" w:hAnsi="新細明體" w:hint="eastAsia"/>
          <w:spacing w:val="17"/>
          <w:sz w:val="24"/>
          <w:szCs w:val="24"/>
        </w:rPr>
        <w:t>5</w:t>
      </w:r>
      <w:r w:rsidRPr="004240FB">
        <w:rPr>
          <w:rFonts w:ascii="Times New Roman" w:hAnsi="新細明體" w:hint="eastAsia"/>
          <w:spacing w:val="17"/>
          <w:sz w:val="24"/>
          <w:szCs w:val="24"/>
        </w:rPr>
        <w:t>大類，以每月底數字為</w:t>
      </w:r>
      <w:proofErr w:type="gramStart"/>
      <w:r w:rsidRPr="004240FB">
        <w:rPr>
          <w:rFonts w:ascii="Times New Roman" w:hAnsi="新細明體" w:hint="eastAsia"/>
          <w:spacing w:val="17"/>
          <w:sz w:val="24"/>
          <w:szCs w:val="24"/>
        </w:rPr>
        <w:t>準</w:t>
      </w:r>
      <w:proofErr w:type="gramEnd"/>
      <w:r w:rsidRPr="004240FB">
        <w:rPr>
          <w:rFonts w:ascii="Times New Roman" w:hAnsi="新細明體" w:hint="eastAsia"/>
          <w:spacing w:val="17"/>
          <w:sz w:val="24"/>
          <w:szCs w:val="24"/>
        </w:rPr>
        <w:t>。</w:t>
      </w:r>
    </w:p>
    <w:p w:rsidR="00472302" w:rsidRPr="004240FB" w:rsidRDefault="00472302" w:rsidP="00472302">
      <w:pPr>
        <w:pStyle w:val="2"/>
        <w:spacing w:line="280" w:lineRule="exact"/>
        <w:ind w:leftChars="250" w:left="1438" w:hangingChars="306" w:hanging="838"/>
        <w:rPr>
          <w:rFonts w:ascii="Times New Roman" w:hAnsi="Times New Roman"/>
          <w:spacing w:val="17"/>
          <w:sz w:val="24"/>
          <w:szCs w:val="24"/>
        </w:rPr>
      </w:pPr>
      <w:r w:rsidRPr="004240FB">
        <w:rPr>
          <w:rFonts w:ascii="Times New Roman" w:hAnsi="新細明體" w:hint="eastAsia"/>
          <w:spacing w:val="17"/>
          <w:sz w:val="24"/>
          <w:szCs w:val="24"/>
        </w:rPr>
        <w:t>（二）分銷商：直轄市、縣（市）轄內列管之販賣可燃性高壓氣體之液化石油氣分銷商（含瓦斯行及辦公連絡處所）家數。</w:t>
      </w:r>
    </w:p>
    <w:p w:rsidR="00472302" w:rsidRPr="004240FB" w:rsidRDefault="00472302" w:rsidP="00472302">
      <w:pPr>
        <w:pStyle w:val="2"/>
        <w:spacing w:line="280" w:lineRule="exact"/>
        <w:ind w:leftChars="250" w:left="1438" w:hangingChars="306" w:hanging="838"/>
        <w:rPr>
          <w:rFonts w:ascii="Times New Roman" w:hAnsi="新細明體"/>
          <w:spacing w:val="17"/>
          <w:sz w:val="24"/>
          <w:szCs w:val="24"/>
        </w:rPr>
      </w:pPr>
      <w:r w:rsidRPr="004240FB">
        <w:rPr>
          <w:rFonts w:ascii="Times New Roman" w:hAnsi="新細明體" w:hint="eastAsia"/>
          <w:spacing w:val="17"/>
          <w:sz w:val="24"/>
          <w:szCs w:val="24"/>
        </w:rPr>
        <w:t>（三）分裝場：直轄市、縣（市）轄內列管之從事製造、壓縮、液化或分裝液化石油氣之</w:t>
      </w:r>
      <w:proofErr w:type="gramStart"/>
      <w:r w:rsidRPr="004240FB">
        <w:rPr>
          <w:rFonts w:ascii="Times New Roman" w:hAnsi="新細明體" w:hint="eastAsia"/>
          <w:spacing w:val="17"/>
          <w:sz w:val="24"/>
          <w:szCs w:val="24"/>
        </w:rPr>
        <w:t>分裝場家數</w:t>
      </w:r>
      <w:proofErr w:type="gramEnd"/>
      <w:r w:rsidRPr="004240FB">
        <w:rPr>
          <w:rFonts w:ascii="Times New Roman" w:hAnsi="新細明體" w:hint="eastAsia"/>
          <w:spacing w:val="17"/>
          <w:sz w:val="24"/>
          <w:szCs w:val="24"/>
        </w:rPr>
        <w:t>。</w:t>
      </w:r>
    </w:p>
    <w:p w:rsidR="00472302" w:rsidRPr="004240FB" w:rsidRDefault="00472302" w:rsidP="00472302">
      <w:pPr>
        <w:pStyle w:val="2"/>
        <w:spacing w:line="280" w:lineRule="exact"/>
        <w:ind w:leftChars="250" w:left="1438" w:hangingChars="306" w:hanging="838"/>
        <w:rPr>
          <w:rFonts w:ascii="Times New Roman" w:hAnsi="新細明體"/>
          <w:spacing w:val="17"/>
          <w:sz w:val="24"/>
          <w:szCs w:val="24"/>
        </w:rPr>
      </w:pPr>
      <w:r w:rsidRPr="004240FB">
        <w:rPr>
          <w:rFonts w:ascii="Times New Roman" w:hAnsi="新細明體" w:hint="eastAsia"/>
          <w:spacing w:val="17"/>
          <w:sz w:val="24"/>
          <w:szCs w:val="24"/>
        </w:rPr>
        <w:t>（四）容器檢驗場：直轄市、縣（市）轄內列管之供家庭用或營業用之液化石油氣容器</w:t>
      </w:r>
      <w:proofErr w:type="gramStart"/>
      <w:r w:rsidRPr="004240FB">
        <w:rPr>
          <w:rFonts w:ascii="Times New Roman" w:hAnsi="新細明體" w:hint="eastAsia"/>
          <w:spacing w:val="17"/>
          <w:sz w:val="24"/>
          <w:szCs w:val="24"/>
        </w:rPr>
        <w:t>檢驗場家數</w:t>
      </w:r>
      <w:proofErr w:type="gramEnd"/>
      <w:r w:rsidRPr="004240FB">
        <w:rPr>
          <w:rFonts w:ascii="Times New Roman" w:hAnsi="新細明體" w:hint="eastAsia"/>
          <w:spacing w:val="17"/>
          <w:sz w:val="24"/>
          <w:szCs w:val="24"/>
        </w:rPr>
        <w:t>。</w:t>
      </w:r>
    </w:p>
    <w:p w:rsidR="00472302" w:rsidRPr="004240FB" w:rsidRDefault="00472302" w:rsidP="00472302">
      <w:pPr>
        <w:pStyle w:val="2"/>
        <w:spacing w:line="280" w:lineRule="exact"/>
        <w:ind w:leftChars="250" w:left="1438" w:hangingChars="306" w:hanging="838"/>
        <w:rPr>
          <w:rFonts w:ascii="Times New Roman" w:hAnsi="Times New Roman"/>
          <w:spacing w:val="17"/>
          <w:sz w:val="24"/>
          <w:szCs w:val="24"/>
        </w:rPr>
      </w:pPr>
      <w:r w:rsidRPr="004240FB">
        <w:rPr>
          <w:rFonts w:ascii="Times New Roman" w:hAnsi="新細明體" w:hint="eastAsia"/>
          <w:spacing w:val="17"/>
          <w:sz w:val="24"/>
          <w:szCs w:val="24"/>
        </w:rPr>
        <w:t>（五）容器儲存場所：直轄市、縣（市）轄內列管之液化石油氣容器儲存場所家數。</w:t>
      </w:r>
    </w:p>
    <w:p w:rsidR="00472302" w:rsidRPr="004240FB" w:rsidRDefault="00472302" w:rsidP="00472302">
      <w:pPr>
        <w:pStyle w:val="2"/>
        <w:spacing w:line="280" w:lineRule="exact"/>
        <w:ind w:leftChars="250" w:left="1438" w:hangingChars="306" w:hanging="838"/>
        <w:rPr>
          <w:rFonts w:ascii="Times New Roman" w:hAnsi="Times New Roman"/>
          <w:spacing w:val="17"/>
          <w:sz w:val="24"/>
          <w:szCs w:val="24"/>
        </w:rPr>
      </w:pPr>
      <w:r w:rsidRPr="004240FB">
        <w:rPr>
          <w:rFonts w:ascii="Times New Roman" w:hAnsi="新細明體" w:hint="eastAsia"/>
          <w:spacing w:val="17"/>
          <w:sz w:val="24"/>
          <w:szCs w:val="24"/>
        </w:rPr>
        <w:t>（六）串接使用場所：直轄市、縣（市）轄內列管之液化石油氣容器串接使用家數。</w:t>
      </w:r>
    </w:p>
    <w:p w:rsidR="00472302" w:rsidRPr="004240FB" w:rsidRDefault="00472302" w:rsidP="00472302">
      <w:pPr>
        <w:pStyle w:val="2"/>
        <w:spacing w:line="280" w:lineRule="exact"/>
        <w:ind w:leftChars="250" w:left="1438" w:hangingChars="306" w:hanging="838"/>
        <w:rPr>
          <w:rFonts w:ascii="Times New Roman" w:hAnsi="新細明體"/>
          <w:spacing w:val="17"/>
          <w:sz w:val="24"/>
          <w:szCs w:val="24"/>
        </w:rPr>
      </w:pPr>
      <w:r w:rsidRPr="004240FB">
        <w:rPr>
          <w:rFonts w:ascii="Times New Roman" w:hAnsi="新細明體" w:hint="eastAsia"/>
          <w:spacing w:val="17"/>
          <w:sz w:val="24"/>
          <w:szCs w:val="24"/>
        </w:rPr>
        <w:t>（七）檢查件次：安全檢查之次數（含例行檢查、無照取締及複查），為當月數字之合計；檢查件次＝合格件次＋不合格件次。</w:t>
      </w:r>
    </w:p>
    <w:p w:rsidR="00472302" w:rsidRPr="004240FB" w:rsidRDefault="00472302" w:rsidP="00472302">
      <w:pPr>
        <w:pStyle w:val="2"/>
        <w:spacing w:line="280" w:lineRule="exact"/>
        <w:ind w:leftChars="250" w:left="1438" w:hangingChars="306" w:hanging="838"/>
        <w:rPr>
          <w:rFonts w:ascii="Times New Roman" w:hAnsi="新細明體"/>
          <w:spacing w:val="17"/>
          <w:sz w:val="24"/>
          <w:szCs w:val="24"/>
        </w:rPr>
      </w:pPr>
      <w:r w:rsidRPr="004240FB">
        <w:rPr>
          <w:rFonts w:ascii="Times New Roman" w:hAnsi="新細明體" w:hint="eastAsia"/>
          <w:spacing w:val="17"/>
          <w:sz w:val="24"/>
          <w:szCs w:val="24"/>
        </w:rPr>
        <w:t>（八）檢查合格率＝（合格件次÷檢查件次）×</w:t>
      </w:r>
      <w:r w:rsidRPr="004240FB">
        <w:rPr>
          <w:rFonts w:ascii="Times New Roman" w:hAnsi="新細明體" w:hint="eastAsia"/>
          <w:spacing w:val="17"/>
          <w:sz w:val="24"/>
          <w:szCs w:val="24"/>
        </w:rPr>
        <w:t>100</w:t>
      </w:r>
      <w:r w:rsidRPr="004240FB">
        <w:rPr>
          <w:rFonts w:ascii="Times New Roman" w:hAnsi="新細明體" w:hint="eastAsia"/>
          <w:spacing w:val="17"/>
          <w:sz w:val="24"/>
          <w:szCs w:val="24"/>
        </w:rPr>
        <w:t>。</w:t>
      </w:r>
    </w:p>
    <w:p w:rsidR="00472302" w:rsidRPr="004240FB" w:rsidRDefault="00472302" w:rsidP="00472302">
      <w:pPr>
        <w:pStyle w:val="2"/>
        <w:spacing w:line="280" w:lineRule="exact"/>
        <w:ind w:leftChars="250" w:left="1438" w:hangingChars="306" w:hanging="838"/>
        <w:rPr>
          <w:rFonts w:ascii="Times New Roman" w:hAnsi="新細明體"/>
          <w:color w:val="FF0000"/>
          <w:spacing w:val="17"/>
          <w:sz w:val="24"/>
          <w:szCs w:val="24"/>
        </w:rPr>
      </w:pPr>
      <w:r w:rsidRPr="004240FB">
        <w:rPr>
          <w:rFonts w:ascii="Times New Roman" w:hAnsi="新細明體" w:hint="eastAsia"/>
          <w:color w:val="FF0000"/>
          <w:spacing w:val="17"/>
          <w:sz w:val="24"/>
          <w:szCs w:val="24"/>
        </w:rPr>
        <w:t>（九）違規取締件次：指於轄區內查獲分銷商、分裝場、容器檢驗場、容器儲存場所及串接使用場所違反消防法第</w:t>
      </w:r>
      <w:r w:rsidRPr="004240FB">
        <w:rPr>
          <w:rFonts w:ascii="Times New Roman" w:hAnsi="新細明體" w:hint="eastAsia"/>
          <w:color w:val="FF0000"/>
          <w:spacing w:val="17"/>
          <w:sz w:val="24"/>
          <w:szCs w:val="24"/>
        </w:rPr>
        <w:t>6</w:t>
      </w:r>
      <w:r w:rsidRPr="004240FB">
        <w:rPr>
          <w:rFonts w:ascii="Times New Roman" w:hAnsi="新細明體" w:hint="eastAsia"/>
          <w:color w:val="FF0000"/>
          <w:spacing w:val="17"/>
          <w:sz w:val="24"/>
          <w:szCs w:val="24"/>
        </w:rPr>
        <w:t>條及第</w:t>
      </w:r>
      <w:r w:rsidRPr="004240FB">
        <w:rPr>
          <w:rFonts w:ascii="Times New Roman" w:hAnsi="新細明體" w:hint="eastAsia"/>
          <w:color w:val="FF0000"/>
          <w:spacing w:val="17"/>
          <w:sz w:val="24"/>
          <w:szCs w:val="24"/>
        </w:rPr>
        <w:t>15</w:t>
      </w:r>
      <w:r w:rsidRPr="004240FB">
        <w:rPr>
          <w:rFonts w:ascii="Times New Roman" w:hAnsi="新細明體" w:hint="eastAsia"/>
          <w:color w:val="FF0000"/>
          <w:spacing w:val="17"/>
          <w:sz w:val="24"/>
          <w:szCs w:val="24"/>
        </w:rPr>
        <w:t>條之違規情形，其違規定義如下：</w:t>
      </w:r>
    </w:p>
    <w:p w:rsidR="00472302" w:rsidRPr="004240FB" w:rsidRDefault="00472302" w:rsidP="00472302">
      <w:pPr>
        <w:pStyle w:val="2"/>
        <w:spacing w:line="280" w:lineRule="exact"/>
        <w:ind w:leftChars="487" w:left="1416" w:hangingChars="90" w:hanging="247"/>
        <w:rPr>
          <w:rFonts w:ascii="Times New Roman" w:hAnsi="新細明體"/>
          <w:color w:val="FF0000"/>
          <w:spacing w:val="17"/>
          <w:sz w:val="24"/>
          <w:szCs w:val="24"/>
        </w:rPr>
      </w:pPr>
      <w:r w:rsidRPr="004240FB">
        <w:rPr>
          <w:rFonts w:ascii="Times New Roman" w:hAnsi="新細明體" w:hint="eastAsia"/>
          <w:color w:val="FF0000"/>
          <w:spacing w:val="17"/>
          <w:sz w:val="24"/>
          <w:szCs w:val="24"/>
        </w:rPr>
        <w:t>1.</w:t>
      </w:r>
      <w:r w:rsidRPr="004240FB">
        <w:rPr>
          <w:rFonts w:ascii="Times New Roman" w:hAnsi="新細明體" w:hint="eastAsia"/>
          <w:color w:val="FF0000"/>
          <w:spacing w:val="17"/>
          <w:sz w:val="24"/>
          <w:szCs w:val="24"/>
        </w:rPr>
        <w:t>違規儲存液化石油氣：指分銷商違反「公共危險物品及可燃性高壓氣體設置標準暨安全管理辦法」（以下簡稱管理辦法）第</w:t>
      </w:r>
      <w:r w:rsidRPr="004240FB">
        <w:rPr>
          <w:rFonts w:ascii="Times New Roman" w:hAnsi="新細明體" w:hint="eastAsia"/>
          <w:color w:val="FF0000"/>
          <w:spacing w:val="17"/>
          <w:sz w:val="24"/>
          <w:szCs w:val="24"/>
        </w:rPr>
        <w:t>71</w:t>
      </w:r>
      <w:r w:rsidRPr="004240FB">
        <w:rPr>
          <w:rFonts w:ascii="Times New Roman" w:hAnsi="新細明體" w:hint="eastAsia"/>
          <w:color w:val="FF0000"/>
          <w:spacing w:val="17"/>
          <w:sz w:val="24"/>
          <w:szCs w:val="24"/>
        </w:rPr>
        <w:t>條或第</w:t>
      </w:r>
      <w:r w:rsidRPr="004240FB">
        <w:rPr>
          <w:rFonts w:ascii="Times New Roman" w:hAnsi="新細明體" w:hint="eastAsia"/>
          <w:color w:val="FF0000"/>
          <w:spacing w:val="17"/>
          <w:sz w:val="24"/>
          <w:szCs w:val="24"/>
        </w:rPr>
        <w:t>73</w:t>
      </w:r>
      <w:r w:rsidRPr="004240FB">
        <w:rPr>
          <w:rFonts w:ascii="Times New Roman" w:hAnsi="新細明體" w:hint="eastAsia"/>
          <w:color w:val="FF0000"/>
          <w:spacing w:val="17"/>
          <w:sz w:val="24"/>
          <w:szCs w:val="24"/>
        </w:rPr>
        <w:t>條第</w:t>
      </w:r>
      <w:r w:rsidRPr="004240FB">
        <w:rPr>
          <w:rFonts w:ascii="Times New Roman" w:hAnsi="新細明體" w:hint="eastAsia"/>
          <w:color w:val="FF0000"/>
          <w:spacing w:val="17"/>
          <w:sz w:val="24"/>
          <w:szCs w:val="24"/>
        </w:rPr>
        <w:t>1</w:t>
      </w:r>
      <w:r w:rsidRPr="004240FB">
        <w:rPr>
          <w:rFonts w:ascii="Times New Roman" w:hAnsi="新細明體" w:hint="eastAsia"/>
          <w:color w:val="FF0000"/>
          <w:spacing w:val="17"/>
          <w:sz w:val="24"/>
          <w:szCs w:val="24"/>
        </w:rPr>
        <w:t>項之規定，包含分銷</w:t>
      </w:r>
      <w:proofErr w:type="gramStart"/>
      <w:r w:rsidRPr="004240FB">
        <w:rPr>
          <w:rFonts w:ascii="Times New Roman" w:hAnsi="新細明體" w:hint="eastAsia"/>
          <w:color w:val="FF0000"/>
          <w:spacing w:val="17"/>
          <w:sz w:val="24"/>
          <w:szCs w:val="24"/>
        </w:rPr>
        <w:t>商超量儲</w:t>
      </w:r>
      <w:proofErr w:type="gramEnd"/>
      <w:r w:rsidRPr="004240FB">
        <w:rPr>
          <w:rFonts w:ascii="Times New Roman" w:hAnsi="新細明體" w:hint="eastAsia"/>
          <w:color w:val="FF0000"/>
          <w:spacing w:val="17"/>
          <w:sz w:val="24"/>
          <w:szCs w:val="24"/>
        </w:rPr>
        <w:t>氣、私設倉庫存放液化石油氣等。</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2.</w:t>
      </w:r>
      <w:r w:rsidRPr="004240FB">
        <w:rPr>
          <w:rFonts w:ascii="Times New Roman" w:hAnsi="新細明體" w:hint="eastAsia"/>
          <w:color w:val="FF0000"/>
          <w:spacing w:val="17"/>
          <w:sz w:val="24"/>
          <w:szCs w:val="24"/>
        </w:rPr>
        <w:t>違規使用逾期容器：指分銷商違反管理辦法第</w:t>
      </w:r>
      <w:r w:rsidRPr="004240FB">
        <w:rPr>
          <w:rFonts w:ascii="Times New Roman" w:hAnsi="新細明體" w:hint="eastAsia"/>
          <w:color w:val="FF0000"/>
          <w:spacing w:val="17"/>
          <w:sz w:val="24"/>
          <w:szCs w:val="24"/>
        </w:rPr>
        <w:t>75</w:t>
      </w:r>
      <w:r w:rsidRPr="004240FB">
        <w:rPr>
          <w:rFonts w:ascii="Times New Roman" w:hAnsi="新細明體" w:hint="eastAsia"/>
          <w:color w:val="FF0000"/>
          <w:spacing w:val="17"/>
          <w:sz w:val="24"/>
          <w:szCs w:val="24"/>
        </w:rPr>
        <w:t>條規定，未將檢驗期限屆滿前之容器送檢驗場實施定期檢驗。</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3.</w:t>
      </w:r>
      <w:r w:rsidRPr="004240FB">
        <w:rPr>
          <w:rFonts w:ascii="Times New Roman" w:hAnsi="新細明體" w:hint="eastAsia"/>
          <w:color w:val="FF0000"/>
          <w:spacing w:val="17"/>
          <w:sz w:val="24"/>
          <w:szCs w:val="24"/>
        </w:rPr>
        <w:t>違規使用偽造合格標示：指分銷商使用偽造之定期檢驗合格標示。</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4.</w:t>
      </w:r>
      <w:r w:rsidRPr="004240FB">
        <w:rPr>
          <w:rFonts w:ascii="Times New Roman" w:hAnsi="新細明體" w:hint="eastAsia"/>
          <w:color w:val="FF0000"/>
          <w:spacing w:val="17"/>
          <w:sz w:val="24"/>
          <w:szCs w:val="24"/>
        </w:rPr>
        <w:t>非法分裝液化石油氣：指分銷商違反管理辦法第</w:t>
      </w:r>
      <w:r w:rsidRPr="004240FB">
        <w:rPr>
          <w:rFonts w:ascii="Times New Roman" w:hAnsi="新細明體" w:hint="eastAsia"/>
          <w:color w:val="FF0000"/>
          <w:spacing w:val="17"/>
          <w:sz w:val="24"/>
          <w:szCs w:val="24"/>
        </w:rPr>
        <w:t>77</w:t>
      </w:r>
      <w:r w:rsidRPr="004240FB">
        <w:rPr>
          <w:rFonts w:ascii="Times New Roman" w:hAnsi="新細明體" w:hint="eastAsia"/>
          <w:color w:val="FF0000"/>
          <w:spacing w:val="17"/>
          <w:sz w:val="24"/>
          <w:szCs w:val="24"/>
        </w:rPr>
        <w:t>條規定，於分裝場以外處所分裝液化石油氣。</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lastRenderedPageBreak/>
        <w:t>5.</w:t>
      </w:r>
      <w:r w:rsidRPr="004240FB">
        <w:rPr>
          <w:rFonts w:ascii="Times New Roman" w:hAnsi="新細明體" w:hint="eastAsia"/>
          <w:color w:val="FF0000"/>
          <w:spacing w:val="17"/>
          <w:sz w:val="24"/>
          <w:szCs w:val="24"/>
        </w:rPr>
        <w:t>其他分銷商位置構造設備或安全管理不合格：指分銷商違反上述第</w:t>
      </w:r>
      <w:r w:rsidRPr="004240FB">
        <w:rPr>
          <w:rFonts w:ascii="Times New Roman" w:hAnsi="新細明體" w:hint="eastAsia"/>
          <w:color w:val="FF0000"/>
          <w:spacing w:val="17"/>
          <w:sz w:val="24"/>
          <w:szCs w:val="24"/>
        </w:rPr>
        <w:t>1</w:t>
      </w:r>
      <w:r w:rsidRPr="004240FB">
        <w:rPr>
          <w:rFonts w:ascii="Times New Roman" w:hAnsi="新細明體" w:hint="eastAsia"/>
          <w:color w:val="FF0000"/>
          <w:spacing w:val="17"/>
          <w:sz w:val="24"/>
          <w:szCs w:val="24"/>
        </w:rPr>
        <w:t>點至第</w:t>
      </w:r>
      <w:r w:rsidRPr="004240FB">
        <w:rPr>
          <w:rFonts w:ascii="Times New Roman" w:hAnsi="新細明體" w:hint="eastAsia"/>
          <w:color w:val="FF0000"/>
          <w:spacing w:val="17"/>
          <w:sz w:val="24"/>
          <w:szCs w:val="24"/>
        </w:rPr>
        <w:t>4</w:t>
      </w:r>
      <w:r w:rsidRPr="004240FB">
        <w:rPr>
          <w:rFonts w:ascii="Times New Roman" w:hAnsi="新細明體" w:hint="eastAsia"/>
          <w:color w:val="FF0000"/>
          <w:spacing w:val="17"/>
          <w:sz w:val="24"/>
          <w:szCs w:val="24"/>
        </w:rPr>
        <w:t>點以外之違規情形。</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6.</w:t>
      </w:r>
      <w:r w:rsidRPr="004240FB">
        <w:rPr>
          <w:rFonts w:ascii="Times New Roman" w:hAnsi="新細明體" w:hint="eastAsia"/>
          <w:color w:val="FF0000"/>
          <w:spacing w:val="17"/>
          <w:sz w:val="24"/>
          <w:szCs w:val="24"/>
        </w:rPr>
        <w:t>違規灌裝逾期容器：指分裝場違反管理辦法第</w:t>
      </w:r>
      <w:r w:rsidRPr="004240FB">
        <w:rPr>
          <w:rFonts w:ascii="Times New Roman" w:hAnsi="新細明體" w:hint="eastAsia"/>
          <w:color w:val="FF0000"/>
          <w:spacing w:val="17"/>
          <w:sz w:val="24"/>
          <w:szCs w:val="24"/>
        </w:rPr>
        <w:t>78</w:t>
      </w:r>
      <w:r w:rsidRPr="004240FB">
        <w:rPr>
          <w:rFonts w:ascii="Times New Roman" w:hAnsi="新細明體" w:hint="eastAsia"/>
          <w:color w:val="FF0000"/>
          <w:spacing w:val="17"/>
          <w:sz w:val="24"/>
          <w:szCs w:val="24"/>
        </w:rPr>
        <w:t>條規定，於灌裝台上分裝逾期容器。</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7.</w:t>
      </w:r>
      <w:r w:rsidRPr="004240FB">
        <w:rPr>
          <w:rFonts w:ascii="Times New Roman" w:hAnsi="新細明體" w:hint="eastAsia"/>
          <w:color w:val="FF0000"/>
          <w:spacing w:val="17"/>
          <w:sz w:val="24"/>
          <w:szCs w:val="24"/>
        </w:rPr>
        <w:t>其他分裝場位置構造設備或安全管理不合格：指分裝場違反第</w:t>
      </w:r>
      <w:r w:rsidRPr="004240FB">
        <w:rPr>
          <w:rFonts w:ascii="Times New Roman" w:hAnsi="新細明體" w:hint="eastAsia"/>
          <w:color w:val="FF0000"/>
          <w:spacing w:val="17"/>
          <w:sz w:val="24"/>
          <w:szCs w:val="24"/>
        </w:rPr>
        <w:t>6</w:t>
      </w:r>
      <w:r w:rsidRPr="004240FB">
        <w:rPr>
          <w:rFonts w:ascii="Times New Roman" w:hAnsi="新細明體" w:hint="eastAsia"/>
          <w:color w:val="FF0000"/>
          <w:spacing w:val="17"/>
          <w:sz w:val="24"/>
          <w:szCs w:val="24"/>
        </w:rPr>
        <w:t>點以外之違規情形。</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8.</w:t>
      </w:r>
      <w:r w:rsidRPr="004240FB">
        <w:rPr>
          <w:rFonts w:ascii="Times New Roman" w:hAnsi="新細明體" w:hint="eastAsia"/>
          <w:color w:val="FF0000"/>
          <w:spacing w:val="17"/>
          <w:sz w:val="24"/>
          <w:szCs w:val="24"/>
        </w:rPr>
        <w:t>容器檢驗不實：指檢驗場未依「液化石油氣容器定期檢驗基準」循序完成檢驗及判定合格。</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9.</w:t>
      </w:r>
      <w:r w:rsidRPr="004240FB">
        <w:rPr>
          <w:rFonts w:ascii="Times New Roman" w:hAnsi="新細明體" w:hint="eastAsia"/>
          <w:color w:val="FF0000"/>
          <w:spacing w:val="17"/>
          <w:sz w:val="24"/>
          <w:szCs w:val="24"/>
        </w:rPr>
        <w:t>其他檢驗場位置構造設備或安全管理不合格：指檢驗場違反第</w:t>
      </w:r>
      <w:r w:rsidRPr="004240FB">
        <w:rPr>
          <w:rFonts w:ascii="Times New Roman" w:hAnsi="新細明體" w:hint="eastAsia"/>
          <w:color w:val="FF0000"/>
          <w:spacing w:val="17"/>
          <w:sz w:val="24"/>
          <w:szCs w:val="24"/>
        </w:rPr>
        <w:t>8</w:t>
      </w:r>
      <w:r w:rsidRPr="004240FB">
        <w:rPr>
          <w:rFonts w:ascii="Times New Roman" w:hAnsi="新細明體" w:hint="eastAsia"/>
          <w:color w:val="FF0000"/>
          <w:spacing w:val="17"/>
          <w:sz w:val="24"/>
          <w:szCs w:val="24"/>
        </w:rPr>
        <w:t>點以外之違規情形。</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10.</w:t>
      </w:r>
      <w:r w:rsidRPr="004240FB">
        <w:rPr>
          <w:rFonts w:ascii="Times New Roman" w:hAnsi="新細明體" w:hint="eastAsia"/>
          <w:color w:val="FF0000"/>
          <w:spacing w:val="17"/>
          <w:sz w:val="24"/>
          <w:szCs w:val="24"/>
        </w:rPr>
        <w:t>儲存場所位置構造設備或安全管理不合格：指儲存場所之安全距離</w:t>
      </w:r>
      <w:r w:rsidRPr="004240FB">
        <w:rPr>
          <w:rFonts w:ascii="Times New Roman" w:hAnsi="新細明體" w:hint="eastAsia"/>
          <w:color w:val="FF0000"/>
          <w:spacing w:val="17"/>
          <w:sz w:val="24"/>
          <w:szCs w:val="24"/>
        </w:rPr>
        <w:t>(</w:t>
      </w:r>
      <w:r w:rsidRPr="004240FB">
        <w:rPr>
          <w:rFonts w:ascii="Times New Roman" w:hAnsi="新細明體" w:hint="eastAsia"/>
          <w:color w:val="FF0000"/>
          <w:spacing w:val="17"/>
          <w:sz w:val="24"/>
          <w:szCs w:val="24"/>
        </w:rPr>
        <w:t>位置</w:t>
      </w:r>
      <w:r w:rsidRPr="004240FB">
        <w:rPr>
          <w:rFonts w:ascii="Times New Roman" w:hAnsi="新細明體" w:hint="eastAsia"/>
          <w:color w:val="FF0000"/>
          <w:spacing w:val="17"/>
          <w:sz w:val="24"/>
          <w:szCs w:val="24"/>
        </w:rPr>
        <w:t>)</w:t>
      </w:r>
      <w:r w:rsidRPr="004240FB">
        <w:rPr>
          <w:rFonts w:ascii="Times New Roman" w:hAnsi="新細明體" w:hint="eastAsia"/>
          <w:color w:val="FF0000"/>
          <w:spacing w:val="17"/>
          <w:sz w:val="24"/>
          <w:szCs w:val="24"/>
        </w:rPr>
        <w:t>違反管理辦法第</w:t>
      </w:r>
      <w:r w:rsidRPr="004240FB">
        <w:rPr>
          <w:rFonts w:ascii="Times New Roman" w:hAnsi="新細明體" w:hint="eastAsia"/>
          <w:color w:val="FF0000"/>
          <w:spacing w:val="17"/>
          <w:sz w:val="24"/>
          <w:szCs w:val="24"/>
        </w:rPr>
        <w:t>67</w:t>
      </w:r>
      <w:r w:rsidRPr="004240FB">
        <w:rPr>
          <w:rFonts w:ascii="Times New Roman" w:hAnsi="新細明體" w:hint="eastAsia"/>
          <w:color w:val="FF0000"/>
          <w:spacing w:val="17"/>
          <w:sz w:val="24"/>
          <w:szCs w:val="24"/>
        </w:rPr>
        <w:t>條規定，構造設備及安全管理違反管理辦法第</w:t>
      </w:r>
      <w:r w:rsidRPr="004240FB">
        <w:rPr>
          <w:rFonts w:ascii="Times New Roman" w:hAnsi="新細明體" w:hint="eastAsia"/>
          <w:color w:val="FF0000"/>
          <w:spacing w:val="17"/>
          <w:sz w:val="24"/>
          <w:szCs w:val="24"/>
        </w:rPr>
        <w:t>70</w:t>
      </w:r>
      <w:r w:rsidRPr="004240FB">
        <w:rPr>
          <w:rFonts w:ascii="Times New Roman" w:hAnsi="新細明體" w:hint="eastAsia"/>
          <w:color w:val="FF0000"/>
          <w:spacing w:val="17"/>
          <w:sz w:val="24"/>
          <w:szCs w:val="24"/>
        </w:rPr>
        <w:t>條規定。</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11.</w:t>
      </w:r>
      <w:r w:rsidRPr="004240FB">
        <w:rPr>
          <w:rFonts w:ascii="Times New Roman" w:hAnsi="新細明體" w:hint="eastAsia"/>
          <w:color w:val="FF0000"/>
          <w:spacing w:val="17"/>
          <w:sz w:val="24"/>
          <w:szCs w:val="24"/>
        </w:rPr>
        <w:t>串接使用場所位置構造設備或安全管理不合格：</w:t>
      </w:r>
      <w:proofErr w:type="gramStart"/>
      <w:r w:rsidRPr="004240FB">
        <w:rPr>
          <w:rFonts w:ascii="Times New Roman" w:hAnsi="新細明體" w:hint="eastAsia"/>
          <w:color w:val="FF0000"/>
          <w:spacing w:val="17"/>
          <w:sz w:val="24"/>
          <w:szCs w:val="24"/>
        </w:rPr>
        <w:t>指串接</w:t>
      </w:r>
      <w:proofErr w:type="gramEnd"/>
      <w:r w:rsidRPr="004240FB">
        <w:rPr>
          <w:rFonts w:ascii="Times New Roman" w:hAnsi="新細明體" w:hint="eastAsia"/>
          <w:color w:val="FF0000"/>
          <w:spacing w:val="17"/>
          <w:sz w:val="24"/>
          <w:szCs w:val="24"/>
        </w:rPr>
        <w:t>使用場所之位置、構造及設備違反管理辦法第</w:t>
      </w:r>
      <w:r w:rsidRPr="004240FB">
        <w:rPr>
          <w:rFonts w:ascii="Times New Roman" w:hAnsi="新細明體" w:hint="eastAsia"/>
          <w:color w:val="FF0000"/>
          <w:spacing w:val="17"/>
          <w:sz w:val="24"/>
          <w:szCs w:val="24"/>
        </w:rPr>
        <w:t>73</w:t>
      </w:r>
      <w:r w:rsidRPr="004240FB">
        <w:rPr>
          <w:rFonts w:ascii="Times New Roman" w:hAnsi="新細明體" w:hint="eastAsia"/>
          <w:color w:val="FF0000"/>
          <w:spacing w:val="17"/>
          <w:sz w:val="24"/>
          <w:szCs w:val="24"/>
        </w:rPr>
        <w:t>條之</w:t>
      </w:r>
      <w:r w:rsidRPr="004240FB">
        <w:rPr>
          <w:rFonts w:ascii="Times New Roman" w:hAnsi="新細明體" w:hint="eastAsia"/>
          <w:color w:val="FF0000"/>
          <w:spacing w:val="17"/>
          <w:sz w:val="24"/>
          <w:szCs w:val="24"/>
        </w:rPr>
        <w:t>1</w:t>
      </w:r>
      <w:r w:rsidRPr="004240FB">
        <w:rPr>
          <w:rFonts w:ascii="Times New Roman" w:hAnsi="新細明體" w:hint="eastAsia"/>
          <w:color w:val="FF0000"/>
          <w:spacing w:val="17"/>
          <w:sz w:val="24"/>
          <w:szCs w:val="24"/>
        </w:rPr>
        <w:t>規定。</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12.</w:t>
      </w:r>
      <w:r w:rsidRPr="004240FB">
        <w:rPr>
          <w:rFonts w:ascii="Times New Roman" w:hAnsi="新細明體" w:hint="eastAsia"/>
          <w:color w:val="FF0000"/>
          <w:spacing w:val="17"/>
          <w:sz w:val="24"/>
          <w:szCs w:val="24"/>
        </w:rPr>
        <w:t>消防安全設備檢查不合格：指場所之消防安全設備未符合「各類場所消防安全設備設置標準」之案件。</w:t>
      </w:r>
    </w:p>
    <w:p w:rsidR="00472302" w:rsidRPr="004240FB" w:rsidRDefault="00472302" w:rsidP="00472302">
      <w:pPr>
        <w:pStyle w:val="2"/>
        <w:spacing w:line="280" w:lineRule="exact"/>
        <w:ind w:leftChars="487" w:left="1276" w:hangingChars="39" w:hanging="107"/>
        <w:rPr>
          <w:rFonts w:ascii="Times New Roman" w:hAnsi="新細明體"/>
          <w:color w:val="FF0000"/>
          <w:spacing w:val="17"/>
          <w:sz w:val="24"/>
          <w:szCs w:val="24"/>
        </w:rPr>
      </w:pPr>
      <w:r w:rsidRPr="004240FB">
        <w:rPr>
          <w:rFonts w:ascii="Times New Roman" w:hAnsi="新細明體" w:hint="eastAsia"/>
          <w:color w:val="FF0000"/>
          <w:spacing w:val="17"/>
          <w:sz w:val="24"/>
          <w:szCs w:val="24"/>
        </w:rPr>
        <w:t>13.</w:t>
      </w:r>
      <w:r w:rsidRPr="004240FB">
        <w:rPr>
          <w:rFonts w:ascii="Times New Roman" w:hAnsi="新細明體" w:hint="eastAsia"/>
          <w:color w:val="FF0000"/>
          <w:spacing w:val="17"/>
          <w:sz w:val="24"/>
          <w:szCs w:val="24"/>
        </w:rPr>
        <w:t>其他違規取締：指上述以外之違規情形。</w:t>
      </w:r>
    </w:p>
    <w:p w:rsidR="00472302" w:rsidRPr="004240FB" w:rsidRDefault="00472302" w:rsidP="00472302">
      <w:pPr>
        <w:pStyle w:val="2"/>
        <w:spacing w:line="280" w:lineRule="exact"/>
        <w:ind w:leftChars="249" w:left="1382" w:hangingChars="286" w:hanging="784"/>
        <w:rPr>
          <w:rFonts w:ascii="Times New Roman" w:hAnsi="新細明體"/>
          <w:color w:val="FF0000"/>
          <w:spacing w:val="17"/>
          <w:sz w:val="24"/>
          <w:szCs w:val="24"/>
        </w:rPr>
      </w:pPr>
      <w:r w:rsidRPr="004240FB">
        <w:rPr>
          <w:rFonts w:ascii="Times New Roman" w:hAnsi="新細明體" w:hint="eastAsia"/>
          <w:color w:val="FF0000"/>
          <w:spacing w:val="17"/>
          <w:sz w:val="24"/>
          <w:szCs w:val="24"/>
        </w:rPr>
        <w:t>（十）裁處件次：指依消防法第</w:t>
      </w:r>
      <w:r w:rsidRPr="004240FB">
        <w:rPr>
          <w:rFonts w:ascii="Times New Roman" w:hAnsi="新細明體" w:hint="eastAsia"/>
          <w:color w:val="FF0000"/>
          <w:spacing w:val="17"/>
          <w:sz w:val="24"/>
          <w:szCs w:val="24"/>
        </w:rPr>
        <w:t>37</w:t>
      </w:r>
      <w:r w:rsidRPr="004240FB">
        <w:rPr>
          <w:rFonts w:ascii="Times New Roman" w:hAnsi="新細明體" w:hint="eastAsia"/>
          <w:color w:val="FF0000"/>
          <w:spacing w:val="17"/>
          <w:sz w:val="24"/>
          <w:szCs w:val="24"/>
        </w:rPr>
        <w:t>條及第</w:t>
      </w:r>
      <w:r w:rsidRPr="004240FB">
        <w:rPr>
          <w:rFonts w:ascii="Times New Roman" w:hAnsi="新細明體" w:hint="eastAsia"/>
          <w:color w:val="FF0000"/>
          <w:spacing w:val="17"/>
          <w:sz w:val="24"/>
          <w:szCs w:val="24"/>
        </w:rPr>
        <w:t>42</w:t>
      </w:r>
      <w:r w:rsidRPr="004240FB">
        <w:rPr>
          <w:rFonts w:ascii="Times New Roman" w:hAnsi="新細明體" w:hint="eastAsia"/>
          <w:color w:val="FF0000"/>
          <w:spacing w:val="17"/>
          <w:sz w:val="24"/>
          <w:szCs w:val="24"/>
        </w:rPr>
        <w:t>條處以限期改善、罰鍰、停業或停止使用之處分，其說明如下：</w:t>
      </w:r>
    </w:p>
    <w:p w:rsidR="00472302" w:rsidRPr="004240FB" w:rsidRDefault="00472302" w:rsidP="00472302">
      <w:pPr>
        <w:pStyle w:val="2"/>
        <w:spacing w:line="280" w:lineRule="exact"/>
        <w:ind w:leftChars="534" w:left="1556" w:hangingChars="100" w:hanging="274"/>
        <w:rPr>
          <w:rFonts w:ascii="Times New Roman" w:hAnsi="新細明體"/>
          <w:spacing w:val="17"/>
          <w:sz w:val="24"/>
          <w:szCs w:val="24"/>
        </w:rPr>
      </w:pPr>
      <w:r w:rsidRPr="004240FB">
        <w:rPr>
          <w:rFonts w:ascii="Times New Roman" w:hAnsi="新細明體" w:hint="eastAsia"/>
          <w:color w:val="FF0000"/>
          <w:spacing w:val="17"/>
          <w:sz w:val="24"/>
          <w:szCs w:val="24"/>
        </w:rPr>
        <w:t>1.</w:t>
      </w:r>
      <w:r w:rsidRPr="004240FB">
        <w:rPr>
          <w:rFonts w:ascii="Times New Roman" w:hAnsi="新細明體" w:hint="eastAsia"/>
          <w:spacing w:val="17"/>
          <w:sz w:val="24"/>
          <w:szCs w:val="24"/>
        </w:rPr>
        <w:t>限期改善：分銷商、分裝場、容器檢驗場、容器儲存場所及串接使用場所消防安全設備檢查不合格應限期改善之次數。</w:t>
      </w:r>
    </w:p>
    <w:p w:rsidR="00472302" w:rsidRPr="004240FB" w:rsidRDefault="00472302" w:rsidP="00472302">
      <w:pPr>
        <w:pStyle w:val="2"/>
        <w:spacing w:line="280" w:lineRule="exact"/>
        <w:ind w:leftChars="534" w:left="1556" w:hangingChars="100" w:hanging="274"/>
        <w:rPr>
          <w:rFonts w:ascii="Times New Roman" w:hAnsi="新細明體"/>
          <w:spacing w:val="17"/>
          <w:sz w:val="24"/>
          <w:szCs w:val="24"/>
        </w:rPr>
      </w:pPr>
      <w:r w:rsidRPr="004240FB">
        <w:rPr>
          <w:rFonts w:ascii="Times New Roman" w:hAnsi="新細明體" w:hint="eastAsia"/>
          <w:color w:val="FF0000"/>
          <w:spacing w:val="17"/>
          <w:sz w:val="24"/>
          <w:szCs w:val="24"/>
        </w:rPr>
        <w:t>2.</w:t>
      </w:r>
      <w:r w:rsidRPr="004240FB">
        <w:rPr>
          <w:rFonts w:ascii="Times New Roman" w:hAnsi="新細明體" w:hint="eastAsia"/>
          <w:spacing w:val="17"/>
          <w:sz w:val="24"/>
          <w:szCs w:val="24"/>
        </w:rPr>
        <w:t>罰鍰：分銷商、分裝場、容器檢驗場、容器儲存場所及串接使用場所消防安全設備經複查不合格或違反「公共危險物品及可燃性高壓氣體設置標準暨安全管理辦法」有關液化石油氣部分，依消防法第</w:t>
      </w:r>
      <w:r w:rsidRPr="004240FB">
        <w:rPr>
          <w:rFonts w:ascii="Times New Roman" w:hAnsi="新細明體" w:hint="eastAsia"/>
          <w:spacing w:val="17"/>
          <w:sz w:val="24"/>
          <w:szCs w:val="24"/>
        </w:rPr>
        <w:t>37</w:t>
      </w:r>
      <w:r w:rsidRPr="004240FB">
        <w:rPr>
          <w:rFonts w:ascii="Times New Roman" w:hAnsi="新細明體" w:hint="eastAsia"/>
          <w:spacing w:val="17"/>
          <w:sz w:val="24"/>
          <w:szCs w:val="24"/>
        </w:rPr>
        <w:t>條或第</w:t>
      </w:r>
      <w:r w:rsidRPr="004240FB">
        <w:rPr>
          <w:rFonts w:ascii="Times New Roman" w:hAnsi="新細明體" w:hint="eastAsia"/>
          <w:spacing w:val="17"/>
          <w:sz w:val="24"/>
          <w:szCs w:val="24"/>
        </w:rPr>
        <w:t>42</w:t>
      </w:r>
      <w:r w:rsidRPr="004240FB">
        <w:rPr>
          <w:rFonts w:ascii="Times New Roman" w:hAnsi="新細明體" w:hint="eastAsia"/>
          <w:spacing w:val="17"/>
          <w:sz w:val="24"/>
          <w:szCs w:val="24"/>
        </w:rPr>
        <w:t>條處以罰鍰之次數（包含連續處罰），依縣</w:t>
      </w:r>
      <w:bookmarkStart w:id="2" w:name="_GoBack"/>
      <w:bookmarkEnd w:id="2"/>
      <w:r w:rsidRPr="004240FB">
        <w:rPr>
          <w:rFonts w:ascii="Times New Roman" w:hAnsi="新細明體" w:hint="eastAsia"/>
          <w:spacing w:val="17"/>
          <w:sz w:val="24"/>
          <w:szCs w:val="24"/>
        </w:rPr>
        <w:t>政府裁處書</w:t>
      </w:r>
      <w:proofErr w:type="gramStart"/>
      <w:r w:rsidRPr="004240FB">
        <w:rPr>
          <w:rFonts w:ascii="Times New Roman" w:hAnsi="新細明體" w:hint="eastAsia"/>
          <w:spacing w:val="17"/>
          <w:sz w:val="24"/>
          <w:szCs w:val="24"/>
        </w:rPr>
        <w:t>計列件次</w:t>
      </w:r>
      <w:proofErr w:type="gramEnd"/>
      <w:r w:rsidRPr="004240FB">
        <w:rPr>
          <w:rFonts w:ascii="Times New Roman" w:hAnsi="新細明體" w:hint="eastAsia"/>
          <w:spacing w:val="17"/>
          <w:sz w:val="24"/>
          <w:szCs w:val="24"/>
        </w:rPr>
        <w:t>。</w:t>
      </w:r>
    </w:p>
    <w:p w:rsidR="00472302" w:rsidRPr="004240FB" w:rsidRDefault="00472302" w:rsidP="00472302">
      <w:pPr>
        <w:pStyle w:val="2"/>
        <w:spacing w:line="280" w:lineRule="exact"/>
        <w:ind w:leftChars="534" w:left="1556" w:hangingChars="100" w:hanging="274"/>
        <w:rPr>
          <w:rFonts w:ascii="Times New Roman" w:hAnsi="新細明體"/>
          <w:spacing w:val="17"/>
          <w:sz w:val="24"/>
          <w:szCs w:val="24"/>
        </w:rPr>
      </w:pPr>
      <w:r w:rsidRPr="004240FB">
        <w:rPr>
          <w:rFonts w:ascii="Times New Roman" w:hAnsi="新細明體" w:hint="eastAsia"/>
          <w:color w:val="FF0000"/>
          <w:spacing w:val="17"/>
          <w:sz w:val="24"/>
          <w:szCs w:val="24"/>
        </w:rPr>
        <w:t>3.</w:t>
      </w:r>
      <w:r w:rsidRPr="004240FB">
        <w:rPr>
          <w:rFonts w:ascii="Times New Roman" w:hAnsi="新細明體" w:hint="eastAsia"/>
          <w:spacing w:val="17"/>
          <w:sz w:val="24"/>
          <w:szCs w:val="24"/>
        </w:rPr>
        <w:t>停業或停止使用：分銷商、分裝場、容器儲存場所及串接使用場所消防安全設備經複查不合格或違反「公共危險物品及可燃性高壓氣體設置標準暨安全管理辦法」有關液化石油氣部分，依消防法第</w:t>
      </w:r>
      <w:r w:rsidRPr="004240FB">
        <w:rPr>
          <w:rFonts w:ascii="Times New Roman" w:hAnsi="新細明體" w:hint="eastAsia"/>
          <w:spacing w:val="17"/>
          <w:sz w:val="24"/>
          <w:szCs w:val="24"/>
        </w:rPr>
        <w:t>37</w:t>
      </w:r>
      <w:r w:rsidRPr="004240FB">
        <w:rPr>
          <w:rFonts w:ascii="Times New Roman" w:hAnsi="新細明體" w:hint="eastAsia"/>
          <w:spacing w:val="17"/>
          <w:sz w:val="24"/>
          <w:szCs w:val="24"/>
        </w:rPr>
        <w:t>條或第</w:t>
      </w:r>
      <w:r w:rsidRPr="004240FB">
        <w:rPr>
          <w:rFonts w:ascii="Times New Roman" w:hAnsi="新細明體" w:hint="eastAsia"/>
          <w:spacing w:val="17"/>
          <w:sz w:val="24"/>
          <w:szCs w:val="24"/>
        </w:rPr>
        <w:t>42</w:t>
      </w:r>
      <w:r w:rsidRPr="004240FB">
        <w:rPr>
          <w:rFonts w:ascii="Times New Roman" w:hAnsi="新細明體" w:hint="eastAsia"/>
          <w:spacing w:val="17"/>
          <w:sz w:val="24"/>
          <w:szCs w:val="24"/>
        </w:rPr>
        <w:t>條處以停業或停止使用之次數。</w:t>
      </w:r>
    </w:p>
    <w:p w:rsidR="00472302" w:rsidRPr="004240FB" w:rsidRDefault="00472302" w:rsidP="00472302">
      <w:pPr>
        <w:pStyle w:val="2"/>
        <w:spacing w:line="280" w:lineRule="exact"/>
        <w:ind w:leftChars="250" w:left="1573" w:hangingChars="355" w:hanging="973"/>
        <w:rPr>
          <w:rFonts w:ascii="Times New Roman" w:hAnsi="新細明體"/>
          <w:spacing w:val="17"/>
          <w:sz w:val="24"/>
          <w:szCs w:val="24"/>
        </w:rPr>
      </w:pPr>
      <w:r w:rsidRPr="004240FB">
        <w:rPr>
          <w:rFonts w:ascii="Times New Roman" w:hAnsi="新細明體" w:hint="eastAsia"/>
          <w:color w:val="FF0000"/>
          <w:spacing w:val="17"/>
          <w:sz w:val="24"/>
          <w:szCs w:val="24"/>
        </w:rPr>
        <w:t>（十一）</w:t>
      </w:r>
      <w:r w:rsidRPr="004240FB">
        <w:rPr>
          <w:rFonts w:ascii="Times New Roman" w:hAnsi="新細明體" w:hint="eastAsia"/>
          <w:spacing w:val="17"/>
          <w:sz w:val="24"/>
          <w:szCs w:val="24"/>
        </w:rPr>
        <w:t>已收繳罰鍰件次：當月收繳罰鍰之件次。</w:t>
      </w:r>
    </w:p>
    <w:p w:rsidR="00472302" w:rsidRPr="004240FB" w:rsidRDefault="00472302" w:rsidP="00472302">
      <w:pPr>
        <w:pStyle w:val="2"/>
        <w:spacing w:line="280" w:lineRule="exact"/>
        <w:ind w:leftChars="250" w:left="1573" w:hangingChars="355" w:hanging="973"/>
        <w:rPr>
          <w:rFonts w:ascii="Times New Roman" w:hAnsi="Times New Roman"/>
          <w:spacing w:val="17"/>
          <w:sz w:val="24"/>
          <w:szCs w:val="24"/>
        </w:rPr>
      </w:pPr>
      <w:r w:rsidRPr="004240FB">
        <w:rPr>
          <w:rFonts w:ascii="Times New Roman" w:hAnsi="新細明體" w:hint="eastAsia"/>
          <w:color w:val="FF0000"/>
          <w:spacing w:val="17"/>
          <w:sz w:val="24"/>
          <w:szCs w:val="24"/>
        </w:rPr>
        <w:t>（十二）</w:t>
      </w:r>
      <w:r w:rsidRPr="004240FB">
        <w:rPr>
          <w:rFonts w:ascii="Times New Roman" w:hAnsi="新細明體" w:hint="eastAsia"/>
          <w:sz w:val="24"/>
          <w:szCs w:val="24"/>
        </w:rPr>
        <w:t>強制執行件次：</w:t>
      </w:r>
      <w:r w:rsidRPr="004240FB">
        <w:rPr>
          <w:rFonts w:ascii="Times New Roman" w:hAnsi="新細明體" w:hint="eastAsia"/>
          <w:spacing w:val="17"/>
          <w:sz w:val="24"/>
          <w:szCs w:val="24"/>
        </w:rPr>
        <w:t>指當期逾期未繳，移送行政執行處強制執行之件次。</w:t>
      </w:r>
    </w:p>
    <w:p w:rsidR="00472302" w:rsidRPr="0094560B" w:rsidRDefault="00472302" w:rsidP="00472302">
      <w:pPr>
        <w:pStyle w:val="10"/>
        <w:spacing w:line="360" w:lineRule="exact"/>
        <w:ind w:left="560" w:hanging="560"/>
        <w:rPr>
          <w:rFonts w:hAnsi="標楷體"/>
          <w:spacing w:val="17"/>
          <w:sz w:val="24"/>
          <w:szCs w:val="24"/>
        </w:rPr>
      </w:pPr>
      <w:r w:rsidRPr="0094560B">
        <w:rPr>
          <w:rFonts w:hAnsi="標楷體" w:hint="eastAsia"/>
          <w:spacing w:val="17"/>
          <w:sz w:val="24"/>
          <w:szCs w:val="24"/>
        </w:rPr>
        <w:t>五、資料蒐集方法及編製程序：依據本局各消防分隊所報「液化石油氣消防安全檢查及違規取締」表彙編。</w:t>
      </w:r>
    </w:p>
    <w:p w:rsidR="00472302" w:rsidRPr="0094560B" w:rsidRDefault="00472302" w:rsidP="00472302">
      <w:pPr>
        <w:pStyle w:val="10"/>
        <w:spacing w:line="360" w:lineRule="exact"/>
        <w:ind w:left="560" w:hanging="560"/>
        <w:rPr>
          <w:rFonts w:hAnsi="標楷體"/>
          <w:spacing w:val="17"/>
          <w:sz w:val="24"/>
          <w:szCs w:val="24"/>
        </w:rPr>
      </w:pPr>
      <w:r w:rsidRPr="0094560B">
        <w:rPr>
          <w:rFonts w:hAnsi="標楷體" w:hint="eastAsia"/>
          <w:spacing w:val="17"/>
          <w:sz w:val="24"/>
          <w:szCs w:val="24"/>
        </w:rPr>
        <w:t>六、編送對象：本表由本局災害</w:t>
      </w:r>
      <w:proofErr w:type="gramStart"/>
      <w:r w:rsidRPr="0094560B">
        <w:rPr>
          <w:rFonts w:hAnsi="標楷體" w:hint="eastAsia"/>
          <w:spacing w:val="17"/>
          <w:sz w:val="24"/>
          <w:szCs w:val="24"/>
        </w:rPr>
        <w:t>預防科編製</w:t>
      </w:r>
      <w:proofErr w:type="gramEnd"/>
      <w:r w:rsidRPr="0094560B">
        <w:rPr>
          <w:rFonts w:hAnsi="標楷體" w:hint="eastAsia"/>
          <w:spacing w:val="17"/>
          <w:sz w:val="24"/>
          <w:szCs w:val="24"/>
        </w:rPr>
        <w:t>一式4份，經陳核後，1份自存，1份送本局會計室，1份送縣政府主計處，1份送內政部消防署主計室，並應由網際網路上傳至內政部消防署統計資料庫。</w:t>
      </w:r>
    </w:p>
    <w:p w:rsidR="004E3B58" w:rsidRPr="00472302" w:rsidRDefault="004E3B58"/>
    <w:sectPr w:rsidR="004E3B58" w:rsidRPr="00472302" w:rsidSect="00472302">
      <w:pgSz w:w="16838" w:h="11906" w:orient="landscape"/>
      <w:pgMar w:top="1797" w:right="1440" w:bottom="1797"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8E5" w:rsidRDefault="00AE68E5" w:rsidP="000727A1">
      <w:r>
        <w:separator/>
      </w:r>
    </w:p>
  </w:endnote>
  <w:endnote w:type="continuationSeparator" w:id="0">
    <w:p w:rsidR="00AE68E5" w:rsidRDefault="00AE68E5" w:rsidP="0007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8E5" w:rsidRDefault="00AE68E5" w:rsidP="000727A1">
      <w:r>
        <w:separator/>
      </w:r>
    </w:p>
  </w:footnote>
  <w:footnote w:type="continuationSeparator" w:id="0">
    <w:p w:rsidR="00AE68E5" w:rsidRDefault="00AE68E5" w:rsidP="000727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02"/>
    <w:rsid w:val="000727A1"/>
    <w:rsid w:val="00472302"/>
    <w:rsid w:val="004E3B58"/>
    <w:rsid w:val="00AE68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472302"/>
    <w:pPr>
      <w:spacing w:after="240"/>
      <w:jc w:val="center"/>
    </w:pPr>
    <w:rPr>
      <w:rFonts w:ascii="標楷體" w:eastAsia="標楷體" w:cs="Times New Roman"/>
      <w:spacing w:val="20"/>
      <w:sz w:val="44"/>
      <w:szCs w:val="20"/>
    </w:rPr>
  </w:style>
  <w:style w:type="paragraph" w:customStyle="1" w:styleId="10">
    <w:name w:val="樣式1"/>
    <w:basedOn w:val="a3"/>
    <w:rsid w:val="00472302"/>
    <w:pPr>
      <w:spacing w:line="440" w:lineRule="exact"/>
      <w:ind w:left="567" w:hanging="567"/>
    </w:pPr>
    <w:rPr>
      <w:rFonts w:ascii="標楷體" w:eastAsia="標楷體" w:cs="Times New Roman"/>
      <w:sz w:val="28"/>
      <w:szCs w:val="20"/>
    </w:rPr>
  </w:style>
  <w:style w:type="paragraph" w:customStyle="1" w:styleId="2">
    <w:name w:val="樣式2"/>
    <w:basedOn w:val="a3"/>
    <w:rsid w:val="00472302"/>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472302"/>
    <w:rPr>
      <w:rFonts w:ascii="細明體" w:eastAsia="細明體" w:hAnsi="Courier New" w:cs="Courier New"/>
      <w:szCs w:val="24"/>
    </w:rPr>
  </w:style>
  <w:style w:type="character" w:customStyle="1" w:styleId="a4">
    <w:name w:val="純文字 字元"/>
    <w:basedOn w:val="a0"/>
    <w:link w:val="a3"/>
    <w:uiPriority w:val="99"/>
    <w:semiHidden/>
    <w:rsid w:val="00472302"/>
    <w:rPr>
      <w:rFonts w:ascii="細明體" w:eastAsia="細明體" w:hAnsi="Courier New" w:cs="Courier New"/>
      <w:szCs w:val="24"/>
    </w:rPr>
  </w:style>
  <w:style w:type="paragraph" w:styleId="a5">
    <w:name w:val="header"/>
    <w:basedOn w:val="a"/>
    <w:link w:val="a6"/>
    <w:uiPriority w:val="99"/>
    <w:unhideWhenUsed/>
    <w:rsid w:val="000727A1"/>
    <w:pPr>
      <w:tabs>
        <w:tab w:val="center" w:pos="4153"/>
        <w:tab w:val="right" w:pos="8306"/>
      </w:tabs>
      <w:snapToGrid w:val="0"/>
    </w:pPr>
    <w:rPr>
      <w:sz w:val="20"/>
      <w:szCs w:val="20"/>
    </w:rPr>
  </w:style>
  <w:style w:type="character" w:customStyle="1" w:styleId="a6">
    <w:name w:val="頁首 字元"/>
    <w:basedOn w:val="a0"/>
    <w:link w:val="a5"/>
    <w:uiPriority w:val="99"/>
    <w:rsid w:val="000727A1"/>
    <w:rPr>
      <w:sz w:val="20"/>
      <w:szCs w:val="20"/>
    </w:rPr>
  </w:style>
  <w:style w:type="paragraph" w:styleId="a7">
    <w:name w:val="footer"/>
    <w:basedOn w:val="a"/>
    <w:link w:val="a8"/>
    <w:uiPriority w:val="99"/>
    <w:unhideWhenUsed/>
    <w:rsid w:val="000727A1"/>
    <w:pPr>
      <w:tabs>
        <w:tab w:val="center" w:pos="4153"/>
        <w:tab w:val="right" w:pos="8306"/>
      </w:tabs>
      <w:snapToGrid w:val="0"/>
    </w:pPr>
    <w:rPr>
      <w:sz w:val="20"/>
      <w:szCs w:val="20"/>
    </w:rPr>
  </w:style>
  <w:style w:type="character" w:customStyle="1" w:styleId="a8">
    <w:name w:val="頁尾 字元"/>
    <w:basedOn w:val="a0"/>
    <w:link w:val="a7"/>
    <w:uiPriority w:val="99"/>
    <w:rsid w:val="000727A1"/>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472302"/>
    <w:pPr>
      <w:spacing w:after="240"/>
      <w:jc w:val="center"/>
    </w:pPr>
    <w:rPr>
      <w:rFonts w:ascii="標楷體" w:eastAsia="標楷體" w:cs="Times New Roman"/>
      <w:spacing w:val="20"/>
      <w:sz w:val="44"/>
      <w:szCs w:val="20"/>
    </w:rPr>
  </w:style>
  <w:style w:type="paragraph" w:customStyle="1" w:styleId="10">
    <w:name w:val="樣式1"/>
    <w:basedOn w:val="a3"/>
    <w:rsid w:val="00472302"/>
    <w:pPr>
      <w:spacing w:line="440" w:lineRule="exact"/>
      <w:ind w:left="567" w:hanging="567"/>
    </w:pPr>
    <w:rPr>
      <w:rFonts w:ascii="標楷體" w:eastAsia="標楷體" w:cs="Times New Roman"/>
      <w:sz w:val="28"/>
      <w:szCs w:val="20"/>
    </w:rPr>
  </w:style>
  <w:style w:type="paragraph" w:customStyle="1" w:styleId="2">
    <w:name w:val="樣式2"/>
    <w:basedOn w:val="a3"/>
    <w:rsid w:val="00472302"/>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472302"/>
    <w:rPr>
      <w:rFonts w:ascii="細明體" w:eastAsia="細明體" w:hAnsi="Courier New" w:cs="Courier New"/>
      <w:szCs w:val="24"/>
    </w:rPr>
  </w:style>
  <w:style w:type="character" w:customStyle="1" w:styleId="a4">
    <w:name w:val="純文字 字元"/>
    <w:basedOn w:val="a0"/>
    <w:link w:val="a3"/>
    <w:uiPriority w:val="99"/>
    <w:semiHidden/>
    <w:rsid w:val="00472302"/>
    <w:rPr>
      <w:rFonts w:ascii="細明體" w:eastAsia="細明體" w:hAnsi="Courier New" w:cs="Courier New"/>
      <w:szCs w:val="24"/>
    </w:rPr>
  </w:style>
  <w:style w:type="paragraph" w:styleId="a5">
    <w:name w:val="header"/>
    <w:basedOn w:val="a"/>
    <w:link w:val="a6"/>
    <w:uiPriority w:val="99"/>
    <w:unhideWhenUsed/>
    <w:rsid w:val="000727A1"/>
    <w:pPr>
      <w:tabs>
        <w:tab w:val="center" w:pos="4153"/>
        <w:tab w:val="right" w:pos="8306"/>
      </w:tabs>
      <w:snapToGrid w:val="0"/>
    </w:pPr>
    <w:rPr>
      <w:sz w:val="20"/>
      <w:szCs w:val="20"/>
    </w:rPr>
  </w:style>
  <w:style w:type="character" w:customStyle="1" w:styleId="a6">
    <w:name w:val="頁首 字元"/>
    <w:basedOn w:val="a0"/>
    <w:link w:val="a5"/>
    <w:uiPriority w:val="99"/>
    <w:rsid w:val="000727A1"/>
    <w:rPr>
      <w:sz w:val="20"/>
      <w:szCs w:val="20"/>
    </w:rPr>
  </w:style>
  <w:style w:type="paragraph" w:styleId="a7">
    <w:name w:val="footer"/>
    <w:basedOn w:val="a"/>
    <w:link w:val="a8"/>
    <w:uiPriority w:val="99"/>
    <w:unhideWhenUsed/>
    <w:rsid w:val="000727A1"/>
    <w:pPr>
      <w:tabs>
        <w:tab w:val="center" w:pos="4153"/>
        <w:tab w:val="right" w:pos="8306"/>
      </w:tabs>
      <w:snapToGrid w:val="0"/>
    </w:pPr>
    <w:rPr>
      <w:sz w:val="20"/>
      <w:szCs w:val="20"/>
    </w:rPr>
  </w:style>
  <w:style w:type="character" w:customStyle="1" w:styleId="a8">
    <w:name w:val="頁尾 字元"/>
    <w:basedOn w:val="a0"/>
    <w:link w:val="a7"/>
    <w:uiPriority w:val="99"/>
    <w:rsid w:val="000727A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user</cp:lastModifiedBy>
  <cp:revision>2</cp:revision>
  <dcterms:created xsi:type="dcterms:W3CDTF">2018-02-22T03:28:00Z</dcterms:created>
  <dcterms:modified xsi:type="dcterms:W3CDTF">2020-09-25T06:28:00Z</dcterms:modified>
</cp:coreProperties>
</file>