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573F" w14:textId="77777777" w:rsidR="00C51F64" w:rsidRDefault="004771E2">
      <w:pPr>
        <w:pStyle w:val="Standard"/>
        <w:widowControl w:val="0"/>
        <w:spacing w:after="240"/>
        <w:jc w:val="both"/>
      </w:pPr>
      <w:r>
        <w:rPr>
          <w:rFonts w:ascii="標楷體" w:eastAsia="標楷體" w:hAnsi="標楷體" w:cs="標楷體"/>
          <w:sz w:val="40"/>
          <w:szCs w:val="40"/>
        </w:rPr>
        <w:t>資通</w:t>
      </w:r>
      <w:proofErr w:type="gramStart"/>
      <w:r>
        <w:rPr>
          <w:rFonts w:ascii="標楷體" w:eastAsia="標楷體" w:hAnsi="標楷體" w:cs="標楷體"/>
          <w:sz w:val="40"/>
          <w:szCs w:val="40"/>
        </w:rPr>
        <w:t>安全情資分享</w:t>
      </w:r>
      <w:proofErr w:type="gramEnd"/>
      <w:r>
        <w:rPr>
          <w:rFonts w:ascii="標楷體" w:eastAsia="標楷體" w:hAnsi="標楷體" w:cs="標楷體"/>
          <w:sz w:val="40"/>
          <w:szCs w:val="40"/>
        </w:rPr>
        <w:t>辦法第三條、第十一條修正條文</w:t>
      </w:r>
    </w:p>
    <w:p w14:paraId="31E35740" w14:textId="77777777" w:rsidR="00C51F64" w:rsidRDefault="004771E2">
      <w:pPr>
        <w:pStyle w:val="Standard"/>
        <w:widowControl w:val="0"/>
        <w:overflowPunct w:val="0"/>
        <w:ind w:left="992" w:hanging="992"/>
        <w:jc w:val="both"/>
      </w:pPr>
      <w:r>
        <w:rPr>
          <w:rFonts w:ascii="標楷體" w:eastAsia="標楷體" w:hAnsi="標楷體" w:cs="標楷體"/>
          <w:sz w:val="32"/>
          <w:szCs w:val="32"/>
        </w:rPr>
        <w:t>第三條</w:t>
      </w:r>
      <w:r>
        <w:rPr>
          <w:rFonts w:ascii="標楷體" w:eastAsia="標楷體" w:hAnsi="標楷體" w:cs="標楷體"/>
          <w:sz w:val="32"/>
          <w:szCs w:val="32"/>
        </w:rPr>
        <w:t xml:space="preserve">    </w:t>
      </w:r>
      <w:r>
        <w:rPr>
          <w:rFonts w:ascii="標楷體" w:eastAsia="標楷體" w:hAnsi="標楷體" w:cs="標楷體"/>
          <w:sz w:val="32"/>
          <w:szCs w:val="32"/>
        </w:rPr>
        <w:t>主管機關應</w:t>
      </w:r>
      <w:proofErr w:type="gramStart"/>
      <w:r>
        <w:rPr>
          <w:rFonts w:ascii="標楷體" w:eastAsia="標楷體" w:hAnsi="標楷體" w:cs="標楷體"/>
          <w:sz w:val="32"/>
          <w:szCs w:val="32"/>
        </w:rPr>
        <w:t>就情資分享</w:t>
      </w:r>
      <w:proofErr w:type="gramEnd"/>
      <w:r>
        <w:rPr>
          <w:rFonts w:ascii="標楷體" w:eastAsia="標楷體" w:hAnsi="標楷體" w:cs="標楷體"/>
          <w:sz w:val="32"/>
          <w:szCs w:val="32"/>
        </w:rPr>
        <w:t>事宜進行國際合作。</w:t>
      </w:r>
    </w:p>
    <w:p w14:paraId="31E35741" w14:textId="77777777" w:rsidR="00C51F64" w:rsidRDefault="004771E2">
      <w:pPr>
        <w:pStyle w:val="Standard"/>
        <w:widowControl w:val="0"/>
        <w:overflowPunct w:val="0"/>
        <w:ind w:left="991" w:firstLine="605"/>
        <w:jc w:val="both"/>
        <w:rPr>
          <w:rFonts w:ascii="標楷體" w:eastAsia="標楷體" w:hAnsi="標楷體" w:cs="標楷體"/>
          <w:sz w:val="32"/>
          <w:szCs w:val="32"/>
        </w:rPr>
      </w:pPr>
      <w:r>
        <w:rPr>
          <w:rFonts w:ascii="標楷體" w:eastAsia="標楷體" w:hAnsi="標楷體" w:cs="標楷體"/>
          <w:sz w:val="32"/>
          <w:szCs w:val="32"/>
        </w:rPr>
        <w:t>主管機關應適時與公務機關</w:t>
      </w:r>
      <w:proofErr w:type="gramStart"/>
      <w:r>
        <w:rPr>
          <w:rFonts w:ascii="標楷體" w:eastAsia="標楷體" w:hAnsi="標楷體" w:cs="標楷體"/>
          <w:sz w:val="32"/>
          <w:szCs w:val="32"/>
        </w:rPr>
        <w:t>進行情資分享</w:t>
      </w:r>
      <w:proofErr w:type="gramEnd"/>
      <w:r>
        <w:rPr>
          <w:rFonts w:ascii="標楷體" w:eastAsia="標楷體" w:hAnsi="標楷體" w:cs="標楷體"/>
          <w:sz w:val="32"/>
          <w:szCs w:val="32"/>
        </w:rPr>
        <w:t>。</w:t>
      </w:r>
    </w:p>
    <w:p w14:paraId="31E35742" w14:textId="77777777" w:rsidR="00C51F64" w:rsidRDefault="004771E2">
      <w:pPr>
        <w:pStyle w:val="Standard"/>
        <w:widowControl w:val="0"/>
        <w:overflowPunct w:val="0"/>
        <w:ind w:left="991" w:firstLine="630"/>
        <w:jc w:val="both"/>
        <w:rPr>
          <w:rFonts w:ascii="標楷體" w:eastAsia="標楷體" w:hAnsi="標楷體" w:cs="標楷體"/>
          <w:sz w:val="32"/>
          <w:szCs w:val="32"/>
        </w:rPr>
      </w:pPr>
      <w:r>
        <w:rPr>
          <w:rFonts w:ascii="標楷體" w:eastAsia="標楷體" w:hAnsi="標楷體" w:cs="標楷體"/>
          <w:sz w:val="32"/>
          <w:szCs w:val="32"/>
        </w:rPr>
        <w:t>公務機關應適時與主管機關</w:t>
      </w:r>
      <w:proofErr w:type="gramStart"/>
      <w:r>
        <w:rPr>
          <w:rFonts w:ascii="標楷體" w:eastAsia="標楷體" w:hAnsi="標楷體" w:cs="標楷體"/>
          <w:sz w:val="32"/>
          <w:szCs w:val="32"/>
        </w:rPr>
        <w:t>進行情資分享</w:t>
      </w:r>
      <w:proofErr w:type="gramEnd"/>
      <w:r>
        <w:rPr>
          <w:rFonts w:ascii="標楷體" w:eastAsia="標楷體" w:hAnsi="標楷體" w:cs="標楷體"/>
          <w:sz w:val="32"/>
          <w:szCs w:val="32"/>
        </w:rPr>
        <w:t>。</w:t>
      </w:r>
      <w:proofErr w:type="gramStart"/>
      <w:r>
        <w:rPr>
          <w:rFonts w:ascii="標楷體" w:eastAsia="標楷體" w:hAnsi="標楷體" w:cs="標楷體"/>
          <w:sz w:val="32"/>
          <w:szCs w:val="32"/>
        </w:rPr>
        <w:t>但情資已</w:t>
      </w:r>
      <w:proofErr w:type="gramEnd"/>
      <w:r>
        <w:rPr>
          <w:rFonts w:ascii="標楷體" w:eastAsia="標楷體" w:hAnsi="標楷體" w:cs="標楷體"/>
          <w:sz w:val="32"/>
          <w:szCs w:val="32"/>
        </w:rPr>
        <w:t>依前項規定分享或已經公開者，不在此限。</w:t>
      </w:r>
    </w:p>
    <w:p w14:paraId="31E35743" w14:textId="77777777" w:rsidR="00C51F64" w:rsidRDefault="004771E2">
      <w:pPr>
        <w:pStyle w:val="Standard"/>
        <w:widowControl w:val="0"/>
        <w:overflowPunct w:val="0"/>
        <w:ind w:left="991" w:firstLine="630"/>
        <w:jc w:val="both"/>
        <w:rPr>
          <w:rFonts w:ascii="標楷體" w:eastAsia="標楷體" w:hAnsi="標楷體" w:cs="標楷體"/>
          <w:sz w:val="32"/>
          <w:szCs w:val="32"/>
        </w:rPr>
      </w:pPr>
      <w:r>
        <w:rPr>
          <w:rFonts w:ascii="標楷體" w:eastAsia="標楷體" w:hAnsi="標楷體" w:cs="標楷體"/>
          <w:sz w:val="32"/>
          <w:szCs w:val="32"/>
        </w:rPr>
        <w:t>中央目的事業主管機關應適時與其所管之特定非公務機關</w:t>
      </w:r>
      <w:proofErr w:type="gramStart"/>
      <w:r>
        <w:rPr>
          <w:rFonts w:ascii="標楷體" w:eastAsia="標楷體" w:hAnsi="標楷體" w:cs="標楷體"/>
          <w:sz w:val="32"/>
          <w:szCs w:val="32"/>
        </w:rPr>
        <w:t>進行情資分享</w:t>
      </w:r>
      <w:proofErr w:type="gramEnd"/>
      <w:r>
        <w:rPr>
          <w:rFonts w:ascii="標楷體" w:eastAsia="標楷體" w:hAnsi="標楷體" w:cs="標楷體"/>
          <w:sz w:val="32"/>
          <w:szCs w:val="32"/>
        </w:rPr>
        <w:t>。</w:t>
      </w:r>
    </w:p>
    <w:p w14:paraId="31E35744" w14:textId="77777777" w:rsidR="00C51F64" w:rsidRDefault="004771E2">
      <w:pPr>
        <w:pStyle w:val="Standard"/>
        <w:widowControl w:val="0"/>
        <w:overflowPunct w:val="0"/>
        <w:ind w:left="991" w:firstLine="659"/>
        <w:jc w:val="both"/>
        <w:rPr>
          <w:rFonts w:ascii="標楷體" w:eastAsia="標楷體" w:hAnsi="標楷體" w:cs="標楷體"/>
          <w:sz w:val="32"/>
          <w:szCs w:val="32"/>
        </w:rPr>
      </w:pPr>
      <w:r>
        <w:rPr>
          <w:rFonts w:ascii="標楷體" w:eastAsia="標楷體" w:hAnsi="標楷體" w:cs="標楷體"/>
          <w:sz w:val="32"/>
          <w:szCs w:val="32"/>
        </w:rPr>
        <w:t>特定非公務機關得與中央目的事業主管機關</w:t>
      </w:r>
      <w:proofErr w:type="gramStart"/>
      <w:r>
        <w:rPr>
          <w:rFonts w:ascii="標楷體" w:eastAsia="標楷體" w:hAnsi="標楷體" w:cs="標楷體"/>
          <w:sz w:val="32"/>
          <w:szCs w:val="32"/>
        </w:rPr>
        <w:t>進行情資分享</w:t>
      </w:r>
      <w:proofErr w:type="gramEnd"/>
      <w:r>
        <w:rPr>
          <w:rFonts w:ascii="標楷體" w:eastAsia="標楷體" w:hAnsi="標楷體" w:cs="標楷體"/>
          <w:sz w:val="32"/>
          <w:szCs w:val="32"/>
        </w:rPr>
        <w:t>。</w:t>
      </w:r>
    </w:p>
    <w:p w14:paraId="31E35745" w14:textId="77777777" w:rsidR="00C51F64" w:rsidRDefault="004771E2">
      <w:pPr>
        <w:pStyle w:val="Standard"/>
        <w:widowControl w:val="0"/>
        <w:overflowPunct w:val="0"/>
        <w:ind w:left="991" w:firstLine="659"/>
        <w:jc w:val="both"/>
        <w:rPr>
          <w:rFonts w:ascii="標楷體" w:eastAsia="標楷體" w:hAnsi="標楷體" w:cs="標楷體"/>
          <w:sz w:val="32"/>
          <w:szCs w:val="32"/>
        </w:rPr>
      </w:pPr>
      <w:r>
        <w:rPr>
          <w:rFonts w:ascii="標楷體" w:eastAsia="標楷體" w:hAnsi="標楷體" w:cs="標楷體"/>
          <w:sz w:val="32"/>
          <w:szCs w:val="32"/>
        </w:rPr>
        <w:t>前項分享</w:t>
      </w:r>
      <w:proofErr w:type="gramStart"/>
      <w:r>
        <w:rPr>
          <w:rFonts w:ascii="標楷體" w:eastAsia="標楷體" w:hAnsi="標楷體" w:cs="標楷體"/>
          <w:sz w:val="32"/>
          <w:szCs w:val="32"/>
        </w:rPr>
        <w:t>之情資</w:t>
      </w:r>
      <w:proofErr w:type="gramEnd"/>
      <w:r>
        <w:rPr>
          <w:rFonts w:ascii="標楷體" w:eastAsia="標楷體" w:hAnsi="標楷體" w:cs="標楷體"/>
          <w:sz w:val="32"/>
          <w:szCs w:val="32"/>
        </w:rPr>
        <w:t>，經中央目的事業主管機關認定足以防止其他機關資通安全事件之發生或降低其損害者，中央目的事業主管機關得予以獎勵。</w:t>
      </w:r>
    </w:p>
    <w:p w14:paraId="31E35746" w14:textId="77777777" w:rsidR="00C51F64" w:rsidRDefault="004771E2">
      <w:pPr>
        <w:pStyle w:val="Standard"/>
        <w:widowControl w:val="0"/>
        <w:overflowPunct w:val="0"/>
        <w:ind w:left="992" w:hanging="992"/>
        <w:jc w:val="both"/>
      </w:pPr>
      <w:r>
        <w:rPr>
          <w:rFonts w:ascii="標楷體" w:eastAsia="標楷體" w:hAnsi="標楷體" w:cs="標楷體"/>
          <w:sz w:val="32"/>
          <w:szCs w:val="32"/>
        </w:rPr>
        <w:t>第十一條</w:t>
      </w:r>
      <w:r>
        <w:rPr>
          <w:rFonts w:ascii="標楷體" w:eastAsia="標楷體" w:hAnsi="標楷體" w:cs="標楷體"/>
          <w:sz w:val="32"/>
          <w:szCs w:val="32"/>
        </w:rPr>
        <w:t xml:space="preserve">    </w:t>
      </w:r>
      <w:r>
        <w:rPr>
          <w:rFonts w:ascii="標楷體" w:eastAsia="標楷體" w:hAnsi="標楷體" w:cs="標楷體"/>
          <w:sz w:val="32"/>
          <w:szCs w:val="32"/>
        </w:rPr>
        <w:t>本辦法施行日期，由主管機關定之。</w:t>
      </w:r>
    </w:p>
    <w:p w14:paraId="31E35747" w14:textId="77777777" w:rsidR="00C51F64" w:rsidRDefault="004771E2">
      <w:pPr>
        <w:pStyle w:val="Standard"/>
        <w:widowControl w:val="0"/>
        <w:overflowPunct w:val="0"/>
        <w:ind w:left="991" w:firstLine="954"/>
        <w:jc w:val="both"/>
        <w:rPr>
          <w:rFonts w:ascii="標楷體" w:eastAsia="標楷體" w:hAnsi="標楷體" w:cs="標楷體"/>
          <w:sz w:val="32"/>
          <w:szCs w:val="32"/>
        </w:rPr>
      </w:pPr>
      <w:r>
        <w:rPr>
          <w:rFonts w:ascii="標楷體" w:eastAsia="標楷體" w:hAnsi="標楷體" w:cs="標楷體"/>
          <w:sz w:val="32"/>
          <w:szCs w:val="32"/>
        </w:rPr>
        <w:t>本辦法修正條文自發布日施行。</w:t>
      </w:r>
    </w:p>
    <w:sectPr w:rsidR="00C51F64">
      <w:footerReference w:type="default" r:id="rId7"/>
      <w:pgSz w:w="11906" w:h="16838"/>
      <w:pgMar w:top="1440" w:right="1800" w:bottom="1440" w:left="180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35743" w14:textId="77777777" w:rsidR="00000000" w:rsidRDefault="004771E2">
      <w:r>
        <w:separator/>
      </w:r>
    </w:p>
  </w:endnote>
  <w:endnote w:type="continuationSeparator" w:id="0">
    <w:p w14:paraId="31E35745" w14:textId="77777777" w:rsidR="00000000" w:rsidRDefault="0047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全真楷書, 細明體">
    <w:charset w:val="00"/>
    <w:family w:val="modern"/>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5747" w14:textId="77777777" w:rsidR="007F76B5" w:rsidRDefault="004771E2">
    <w:pPr>
      <w:pStyle w:val="a9"/>
    </w:pPr>
    <w:r>
      <w:rPr>
        <w:noProof/>
      </w:rPr>
      <mc:AlternateContent>
        <mc:Choice Requires="wps">
          <w:drawing>
            <wp:anchor distT="0" distB="0" distL="114300" distR="114300" simplePos="0" relativeHeight="251659264" behindDoc="0" locked="0" layoutInCell="1" allowOverlap="1" wp14:anchorId="31E3573F" wp14:editId="31E35740">
              <wp:simplePos x="0" y="0"/>
              <wp:positionH relativeFrom="margin">
                <wp:align>center</wp:align>
              </wp:positionH>
              <wp:positionV relativeFrom="paragraph">
                <wp:posOffset>720</wp:posOffset>
              </wp:positionV>
              <wp:extent cx="0" cy="2088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14:paraId="31E35741" w14:textId="77777777" w:rsidR="007F76B5" w:rsidRDefault="004771E2">
                          <w:pPr>
                            <w:pStyle w:val="a9"/>
                          </w:pPr>
                          <w:r>
                            <w:rPr>
                              <w:rStyle w:val="ac"/>
                            </w:rPr>
                            <w:fldChar w:fldCharType="begin"/>
                          </w:r>
                          <w:r>
                            <w:rPr>
                              <w:rStyle w:val="ac"/>
                            </w:rPr>
                            <w:instrText xml:space="preserve"> PAGE </w:instrText>
                          </w:r>
                          <w:r>
                            <w:rPr>
                              <w:rStyle w:val="ac"/>
                            </w:rPr>
                            <w:fldChar w:fldCharType="separate"/>
                          </w:r>
                          <w:r>
                            <w:rPr>
                              <w:rStyle w:val="ac"/>
                            </w:rPr>
                            <w:t>1</w:t>
                          </w:r>
                          <w:r>
                            <w:rPr>
                              <w:rStyle w:val="ac"/>
                            </w:rPr>
                            <w:fldChar w:fldCharType="end"/>
                          </w:r>
                        </w:p>
                      </w:txbxContent>
                    </wps:txbx>
                    <wps:bodyPr wrap="none" lIns="0" tIns="0" rIns="0" bIns="0" compatLnSpc="0">
                      <a:spAutoFit/>
                    </wps:bodyPr>
                  </wps:wsp>
                </a:graphicData>
              </a:graphic>
            </wp:anchor>
          </w:drawing>
        </mc:Choice>
        <mc:Fallback>
          <w:pict>
            <v:shapetype w14:anchorId="31E3573F" id="_x0000_t202" coordsize="21600,21600" o:spt="202" path="m,l,21600r21600,l21600,xe">
              <v:stroke joinstyle="miter"/>
              <v:path gradientshapeok="t" o:connecttype="rect"/>
            </v:shapetype>
            <v:shape id="外框1" o:spid="_x0000_s1026" type="#_x0000_t202" style="position:absolute;margin-left:0;margin-top:.05pt;width:0;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" stroked="f">
              <v:fill opacity="0"/>
              <v:textbox style="mso-fit-shape-to-text:t" inset="0,0,0,0">
                <w:txbxContent>
                  <w:p w14:paraId="31E35741" w14:textId="77777777" w:rsidR="007F76B5" w:rsidRDefault="004771E2">
                    <w:pPr>
                      <w:pStyle w:val="a9"/>
                    </w:pPr>
                    <w:r>
                      <w:rPr>
                        <w:rStyle w:val="ac"/>
                      </w:rPr>
                      <w:fldChar w:fldCharType="begin"/>
                    </w:r>
                    <w:r>
                      <w:rPr>
                        <w:rStyle w:val="ac"/>
                      </w:rPr>
                      <w:instrText xml:space="preserve"> PAGE </w:instrText>
                    </w:r>
                    <w:r>
                      <w:rPr>
                        <w:rStyle w:val="ac"/>
                      </w:rPr>
                      <w:fldChar w:fldCharType="separate"/>
                    </w:r>
                    <w:r>
                      <w:rPr>
                        <w:rStyle w:val="ac"/>
                      </w:rPr>
                      <w:t>1</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573F" w14:textId="77777777" w:rsidR="00000000" w:rsidRDefault="004771E2">
      <w:r>
        <w:rPr>
          <w:color w:val="000000"/>
        </w:rPr>
        <w:separator/>
      </w:r>
    </w:p>
  </w:footnote>
  <w:footnote w:type="continuationSeparator" w:id="0">
    <w:p w14:paraId="31E35741" w14:textId="77777777" w:rsidR="00000000" w:rsidRDefault="00477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45C4"/>
    <w:multiLevelType w:val="multilevel"/>
    <w:tmpl w:val="59C093DE"/>
    <w:styleLink w:val="WW8Num5"/>
    <w:lvl w:ilvl="0">
      <w:start w:val="1"/>
      <w:numFmt w:val="japaneseCounting"/>
      <w:lvlText w:val="%1、"/>
      <w:lvlJc w:val="left"/>
      <w:pPr>
        <w:ind w:left="798" w:hanging="480"/>
      </w:pPr>
      <w:rPr>
        <w:color w:val="FF0000"/>
        <w:sz w:val="24"/>
        <w:szCs w:val="24"/>
        <w:lang w:val="en-US"/>
      </w:rPr>
    </w:lvl>
    <w:lvl w:ilvl="1">
      <w:start w:val="1"/>
      <w:numFmt w:val="ideographTraditional"/>
      <w:lvlText w:val="%2、"/>
      <w:lvlJc w:val="left"/>
      <w:pPr>
        <w:ind w:left="2271" w:hanging="480"/>
      </w:pPr>
    </w:lvl>
    <w:lvl w:ilvl="2">
      <w:start w:val="1"/>
      <w:numFmt w:val="lowerRoman"/>
      <w:lvlText w:val="%3."/>
      <w:lvlJc w:val="right"/>
      <w:pPr>
        <w:ind w:left="2751" w:hanging="480"/>
      </w:pPr>
    </w:lvl>
    <w:lvl w:ilvl="3">
      <w:start w:val="1"/>
      <w:numFmt w:val="decimal"/>
      <w:lvlText w:val="%4."/>
      <w:lvlJc w:val="left"/>
      <w:pPr>
        <w:ind w:left="3231" w:hanging="480"/>
      </w:pPr>
    </w:lvl>
    <w:lvl w:ilvl="4">
      <w:start w:val="1"/>
      <w:numFmt w:val="ideographTraditional"/>
      <w:lvlText w:val="%5、"/>
      <w:lvlJc w:val="left"/>
      <w:pPr>
        <w:ind w:left="3711" w:hanging="480"/>
      </w:pPr>
    </w:lvl>
    <w:lvl w:ilvl="5">
      <w:start w:val="1"/>
      <w:numFmt w:val="lowerRoman"/>
      <w:lvlText w:val="%6."/>
      <w:lvlJc w:val="right"/>
      <w:pPr>
        <w:ind w:left="4191" w:hanging="480"/>
      </w:pPr>
    </w:lvl>
    <w:lvl w:ilvl="6">
      <w:start w:val="1"/>
      <w:numFmt w:val="decimal"/>
      <w:lvlText w:val="%7."/>
      <w:lvlJc w:val="left"/>
      <w:pPr>
        <w:ind w:left="4671" w:hanging="480"/>
      </w:pPr>
    </w:lvl>
    <w:lvl w:ilvl="7">
      <w:start w:val="1"/>
      <w:numFmt w:val="ideographTraditional"/>
      <w:lvlText w:val="%8、"/>
      <w:lvlJc w:val="left"/>
      <w:pPr>
        <w:ind w:left="5151" w:hanging="480"/>
      </w:pPr>
    </w:lvl>
    <w:lvl w:ilvl="8">
      <w:start w:val="1"/>
      <w:numFmt w:val="lowerRoman"/>
      <w:lvlText w:val="%9."/>
      <w:lvlJc w:val="right"/>
      <w:pPr>
        <w:ind w:left="5631" w:hanging="480"/>
      </w:pPr>
    </w:lvl>
  </w:abstractNum>
  <w:abstractNum w:abstractNumId="1" w15:restartNumberingAfterBreak="0">
    <w:nsid w:val="1055380B"/>
    <w:multiLevelType w:val="multilevel"/>
    <w:tmpl w:val="60C844FC"/>
    <w:styleLink w:val="WW8Num3"/>
    <w:lvl w:ilvl="0">
      <w:start w:val="1"/>
      <w:numFmt w:val="japaneseCounting"/>
      <w:lvlText w:val="%1、"/>
      <w:lvlJc w:val="left"/>
      <w:pPr>
        <w:ind w:left="810" w:hanging="81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E9D0A7A"/>
    <w:multiLevelType w:val="multilevel"/>
    <w:tmpl w:val="4BC095D2"/>
    <w:styleLink w:val="WW8Num2"/>
    <w:lvl w:ilvl="0">
      <w:start w:val="1"/>
      <w:numFmt w:val="japaneseCounting"/>
      <w:lvlText w:val="%1、"/>
      <w:lvlJc w:val="left"/>
      <w:pPr>
        <w:ind w:left="1473" w:hanging="480"/>
      </w:pPr>
      <w:rPr>
        <w:lang w:val="en-US"/>
      </w:rPr>
    </w:lvl>
    <w:lvl w:ilvl="1">
      <w:start w:val="1"/>
      <w:numFmt w:val="ideographTraditional"/>
      <w:lvlText w:val="%2、"/>
      <w:lvlJc w:val="left"/>
      <w:pPr>
        <w:ind w:left="2946" w:hanging="480"/>
      </w:pPr>
    </w:lvl>
    <w:lvl w:ilvl="2">
      <w:start w:val="1"/>
      <w:numFmt w:val="lowerRoman"/>
      <w:lvlText w:val="%3."/>
      <w:lvlJc w:val="right"/>
      <w:pPr>
        <w:ind w:left="3426" w:hanging="480"/>
      </w:pPr>
    </w:lvl>
    <w:lvl w:ilvl="3">
      <w:start w:val="1"/>
      <w:numFmt w:val="decimal"/>
      <w:lvlText w:val="%4."/>
      <w:lvlJc w:val="left"/>
      <w:pPr>
        <w:ind w:left="3906" w:hanging="480"/>
      </w:pPr>
    </w:lvl>
    <w:lvl w:ilvl="4">
      <w:start w:val="1"/>
      <w:numFmt w:val="ideographTraditional"/>
      <w:lvlText w:val="%5、"/>
      <w:lvlJc w:val="left"/>
      <w:pPr>
        <w:ind w:left="4386" w:hanging="480"/>
      </w:pPr>
    </w:lvl>
    <w:lvl w:ilvl="5">
      <w:start w:val="1"/>
      <w:numFmt w:val="lowerRoman"/>
      <w:lvlText w:val="%6."/>
      <w:lvlJc w:val="right"/>
      <w:pPr>
        <w:ind w:left="4866" w:hanging="480"/>
      </w:pPr>
    </w:lvl>
    <w:lvl w:ilvl="6">
      <w:start w:val="1"/>
      <w:numFmt w:val="decimal"/>
      <w:lvlText w:val="%7."/>
      <w:lvlJc w:val="left"/>
      <w:pPr>
        <w:ind w:left="5346" w:hanging="480"/>
      </w:pPr>
    </w:lvl>
    <w:lvl w:ilvl="7">
      <w:start w:val="1"/>
      <w:numFmt w:val="ideographTraditional"/>
      <w:lvlText w:val="%8、"/>
      <w:lvlJc w:val="left"/>
      <w:pPr>
        <w:ind w:left="5826" w:hanging="480"/>
      </w:pPr>
    </w:lvl>
    <w:lvl w:ilvl="8">
      <w:start w:val="1"/>
      <w:numFmt w:val="lowerRoman"/>
      <w:lvlText w:val="%9."/>
      <w:lvlJc w:val="right"/>
      <w:pPr>
        <w:ind w:left="6306" w:hanging="480"/>
      </w:pPr>
    </w:lvl>
  </w:abstractNum>
  <w:abstractNum w:abstractNumId="3" w15:restartNumberingAfterBreak="0">
    <w:nsid w:val="773B6CA1"/>
    <w:multiLevelType w:val="multilevel"/>
    <w:tmpl w:val="6EC89038"/>
    <w:styleLink w:val="WW8Num4"/>
    <w:lvl w:ilvl="0">
      <w:start w:val="1"/>
      <w:numFmt w:val="japaneseCounting"/>
      <w:lvlText w:val="%1、"/>
      <w:lvlJc w:val="left"/>
      <w:pPr>
        <w:ind w:left="810" w:hanging="8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9952D05"/>
    <w:multiLevelType w:val="multilevel"/>
    <w:tmpl w:val="C81C74CE"/>
    <w:styleLink w:val="WW8Num1"/>
    <w:lvl w:ilvl="0">
      <w:start w:val="1"/>
      <w:numFmt w:val="japaneseCounting"/>
      <w:lvlText w:val="%1、"/>
      <w:lvlJc w:val="left"/>
      <w:pPr>
        <w:ind w:left="1473" w:hanging="480"/>
      </w:pPr>
      <w:rPr>
        <w:lang w:val="en-US"/>
      </w:rPr>
    </w:lvl>
    <w:lvl w:ilvl="1">
      <w:start w:val="1"/>
      <w:numFmt w:val="ideographTraditional"/>
      <w:lvlText w:val="%2、"/>
      <w:lvlJc w:val="left"/>
      <w:pPr>
        <w:ind w:left="2946" w:hanging="480"/>
      </w:pPr>
    </w:lvl>
    <w:lvl w:ilvl="2">
      <w:start w:val="1"/>
      <w:numFmt w:val="lowerRoman"/>
      <w:lvlText w:val="%3."/>
      <w:lvlJc w:val="right"/>
      <w:pPr>
        <w:ind w:left="3426" w:hanging="480"/>
      </w:pPr>
    </w:lvl>
    <w:lvl w:ilvl="3">
      <w:start w:val="1"/>
      <w:numFmt w:val="decimal"/>
      <w:lvlText w:val="%4."/>
      <w:lvlJc w:val="left"/>
      <w:pPr>
        <w:ind w:left="3906" w:hanging="480"/>
      </w:pPr>
    </w:lvl>
    <w:lvl w:ilvl="4">
      <w:start w:val="1"/>
      <w:numFmt w:val="ideographTraditional"/>
      <w:lvlText w:val="%5、"/>
      <w:lvlJc w:val="left"/>
      <w:pPr>
        <w:ind w:left="4386" w:hanging="480"/>
      </w:pPr>
    </w:lvl>
    <w:lvl w:ilvl="5">
      <w:start w:val="1"/>
      <w:numFmt w:val="lowerRoman"/>
      <w:lvlText w:val="%6."/>
      <w:lvlJc w:val="right"/>
      <w:pPr>
        <w:ind w:left="4866" w:hanging="480"/>
      </w:pPr>
    </w:lvl>
    <w:lvl w:ilvl="6">
      <w:start w:val="1"/>
      <w:numFmt w:val="decimal"/>
      <w:lvlText w:val="%7."/>
      <w:lvlJc w:val="left"/>
      <w:pPr>
        <w:ind w:left="5346" w:hanging="480"/>
      </w:pPr>
    </w:lvl>
    <w:lvl w:ilvl="7">
      <w:start w:val="1"/>
      <w:numFmt w:val="ideographTraditional"/>
      <w:lvlText w:val="%8、"/>
      <w:lvlJc w:val="left"/>
      <w:pPr>
        <w:ind w:left="5826" w:hanging="480"/>
      </w:pPr>
    </w:lvl>
    <w:lvl w:ilvl="8">
      <w:start w:val="1"/>
      <w:numFmt w:val="lowerRoman"/>
      <w:lvlText w:val="%9."/>
      <w:lvlJc w:val="right"/>
      <w:pPr>
        <w:ind w:left="6306" w:hanging="4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51F64"/>
    <w:rsid w:val="004771E2"/>
    <w:rsid w:val="00C51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573F"/>
  <w15:docId w15:val="{1B6719FF-0E92-47B9-BF82-3FA0680A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widowControl w:val="0"/>
      <w:spacing w:line="360" w:lineRule="atLeast"/>
      <w:ind w:right="113"/>
      <w:jc w:val="both"/>
    </w:pPr>
    <w:rPr>
      <w:rFonts w:ascii="全真楷書, 細明體" w:eastAsia="全真楷書, 細明體" w:hAnsi="全真楷書, 細明體" w:cs="全真楷書, 細明體"/>
      <w:szCs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Contents1">
    <w:name w:val="Contents 1"/>
    <w:basedOn w:val="Standard"/>
    <w:next w:val="Standard"/>
    <w:pPr>
      <w:widowControl w:val="0"/>
    </w:pPr>
    <w:rPr>
      <w:rFonts w:eastAsia="標楷體"/>
      <w:b/>
      <w:bCs/>
      <w:sz w:val="28"/>
    </w:rPr>
  </w:style>
  <w:style w:type="paragraph" w:customStyle="1" w:styleId="Contents3">
    <w:name w:val="Contents 3"/>
    <w:basedOn w:val="Standard"/>
    <w:next w:val="Standard"/>
    <w:pPr>
      <w:widowControl w:val="0"/>
      <w:ind w:firstLine="680"/>
    </w:pPr>
    <w:rPr>
      <w:rFonts w:eastAsia="標楷體"/>
      <w:bCs/>
    </w:rPr>
  </w:style>
  <w:style w:type="paragraph" w:customStyle="1" w:styleId="Contents5">
    <w:name w:val="Contents 5"/>
    <w:basedOn w:val="Standard"/>
    <w:next w:val="Standard"/>
    <w:pPr>
      <w:widowControl w:val="0"/>
      <w:ind w:left="1920" w:hanging="1920"/>
    </w:pPr>
    <w:rPr>
      <w:rFonts w:eastAsia="標楷體"/>
      <w:bCs/>
    </w:rPr>
  </w:style>
  <w:style w:type="paragraph" w:customStyle="1" w:styleId="a5">
    <w:name w:val="受文者"/>
    <w:basedOn w:val="Standard"/>
    <w:pPr>
      <w:widowControl w:val="0"/>
      <w:snapToGrid w:val="0"/>
      <w:spacing w:line="240" w:lineRule="atLeast"/>
    </w:pPr>
    <w:rPr>
      <w:rFonts w:ascii="Arial" w:eastAsia="標楷體" w:hAnsi="Arial" w:cs="Arial"/>
      <w:sz w:val="32"/>
      <w:szCs w:val="32"/>
    </w:rPr>
  </w:style>
  <w:style w:type="paragraph" w:customStyle="1" w:styleId="a6">
    <w:name w:val="第一條"/>
    <w:basedOn w:val="Standard"/>
    <w:pPr>
      <w:widowControl w:val="0"/>
      <w:spacing w:line="460" w:lineRule="exact"/>
      <w:ind w:left="625" w:hanging="625"/>
      <w:jc w:val="both"/>
    </w:pPr>
    <w:rPr>
      <w:rFonts w:eastAsia="標楷體"/>
      <w:spacing w:val="10"/>
      <w:sz w:val="26"/>
    </w:rPr>
  </w:style>
  <w:style w:type="paragraph" w:customStyle="1" w:styleId="a7">
    <w:name w:val="條一"/>
    <w:basedOn w:val="Standard"/>
    <w:pPr>
      <w:widowControl w:val="0"/>
      <w:spacing w:line="460" w:lineRule="exact"/>
      <w:ind w:left="850" w:hanging="225"/>
      <w:jc w:val="both"/>
    </w:pPr>
    <w:rPr>
      <w:rFonts w:eastAsia="標楷體"/>
      <w:spacing w:val="10"/>
      <w:sz w:val="26"/>
    </w:rPr>
  </w:style>
  <w:style w:type="paragraph" w:customStyle="1" w:styleId="Textbodyindent">
    <w:name w:val="Text body indent"/>
    <w:basedOn w:val="Standard"/>
    <w:pPr>
      <w:ind w:left="2119" w:hanging="319"/>
    </w:pPr>
    <w:rPr>
      <w:rFonts w:ascii="標楷體" w:eastAsia="標楷體" w:hAnsi="標楷體" w:cs="標楷體"/>
      <w:sz w:val="28"/>
    </w:r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pPr>
      <w:tabs>
        <w:tab w:val="center" w:pos="4153"/>
        <w:tab w:val="right" w:pos="8306"/>
      </w:tabs>
      <w:snapToGrid w:val="0"/>
    </w:pPr>
    <w:rPr>
      <w:sz w:val="20"/>
      <w:szCs w:val="20"/>
    </w:rPr>
  </w:style>
  <w:style w:type="paragraph" w:customStyle="1" w:styleId="aa">
    <w:name w:val="公文(後續段落)"/>
    <w:pPr>
      <w:widowControl/>
      <w:snapToGrid w:val="0"/>
      <w:spacing w:line="578" w:lineRule="exact"/>
      <w:ind w:left="340"/>
      <w:textAlignment w:val="center"/>
    </w:pPr>
    <w:rPr>
      <w:rFonts w:ascii="Times New Roman" w:eastAsia="標楷體" w:hAnsi="Times New Roman" w:cs="Times New Roman"/>
      <w:sz w:val="32"/>
      <w:szCs w:val="20"/>
      <w:lang w:bidi="ar-SA"/>
    </w:rPr>
  </w:style>
  <w:style w:type="paragraph" w:styleId="ab">
    <w:name w:val="List Paragraph"/>
    <w:basedOn w:val="Standard"/>
    <w:pPr>
      <w:widowControl w:val="0"/>
      <w:ind w:left="480"/>
    </w:pPr>
    <w:rPr>
      <w:rFonts w:ascii="Calibri" w:eastAsia="Calibri" w:hAnsi="Calibri" w:cs="Calibri"/>
      <w:szCs w:val="22"/>
    </w:rPr>
  </w:style>
  <w:style w:type="paragraph" w:customStyle="1" w:styleId="Framecontents">
    <w:name w:val="Frame contents"/>
    <w:basedOn w:val="Standard"/>
  </w:style>
  <w:style w:type="character" w:customStyle="1" w:styleId="WW8Num1z0">
    <w:name w:val="WW8Num1z0"/>
    <w:rPr>
      <w:lang w:val="en-U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color w:val="FF0000"/>
      <w:sz w:val="24"/>
      <w:szCs w:val="24"/>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ac">
    <w:name w:val="page number"/>
    <w:basedOn w:val="a0"/>
  </w:style>
  <w:style w:type="character" w:customStyle="1" w:styleId="ad">
    <w:name w:val="清單段落 字元"/>
    <w:rPr>
      <w:rFonts w:ascii="Calibri" w:eastAsia="Calibri" w:hAnsi="Calibri" w:cs="Calibri"/>
      <w:kern w:val="3"/>
      <w:sz w:val="24"/>
      <w:szCs w:val="22"/>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wlgong</dc:creator>
  <cp:keywords/>
  <cp:lastModifiedBy>鹽烤 研考</cp:lastModifiedBy>
  <cp:revision>2</cp:revision>
  <dcterms:created xsi:type="dcterms:W3CDTF">2021-09-14T01:15:00Z</dcterms:created>
  <dcterms:modified xsi:type="dcterms:W3CDTF">2021-09-14T01:15:00Z</dcterms:modified>
</cp:coreProperties>
</file>