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BC9D" w14:textId="77777777" w:rsidR="00C35FC6" w:rsidRDefault="00A56165">
      <w:pPr>
        <w:pStyle w:val="Standard"/>
        <w:widowControl w:val="0"/>
        <w:spacing w:after="240"/>
        <w:jc w:val="both"/>
        <w:rPr>
          <w:rFonts w:ascii="標楷體" w:eastAsia="標楷體" w:hAnsi="標楷體" w:cs="標楷體"/>
          <w:sz w:val="40"/>
          <w:szCs w:val="40"/>
        </w:rPr>
      </w:pPr>
      <w:r>
        <w:rPr>
          <w:rFonts w:ascii="標楷體" w:eastAsia="標楷體" w:hAnsi="標楷體" w:cs="標楷體"/>
          <w:sz w:val="40"/>
          <w:szCs w:val="40"/>
        </w:rPr>
        <w:t>資通安全管理法施行細則第六條、第七條、第十三條修正條文</w:t>
      </w:r>
    </w:p>
    <w:p w14:paraId="7F07BC9E" w14:textId="77777777" w:rsidR="00C35FC6" w:rsidRDefault="00A56165">
      <w:pPr>
        <w:pStyle w:val="Standard"/>
        <w:widowControl w:val="0"/>
        <w:overflowPunct w:val="0"/>
        <w:ind w:left="992" w:hanging="992"/>
        <w:jc w:val="both"/>
      </w:pPr>
      <w:r>
        <w:rPr>
          <w:rFonts w:ascii="標楷體" w:eastAsia="標楷體" w:hAnsi="標楷體" w:cs="標楷體"/>
          <w:sz w:val="32"/>
          <w:szCs w:val="32"/>
        </w:rPr>
        <w:t>第六條</w:t>
      </w:r>
      <w:r>
        <w:rPr>
          <w:rFonts w:ascii="標楷體" w:eastAsia="標楷體" w:hAnsi="標楷體" w:cs="標楷體"/>
          <w:sz w:val="32"/>
          <w:szCs w:val="32"/>
        </w:rPr>
        <w:t xml:space="preserve">    </w:t>
      </w:r>
      <w:r>
        <w:rPr>
          <w:rFonts w:ascii="標楷體" w:eastAsia="標楷體" w:hAnsi="標楷體" w:cs="標楷體"/>
          <w:sz w:val="32"/>
          <w:szCs w:val="32"/>
        </w:rPr>
        <w:t>本法第十條、第十六條第二項及第十七條第一項</w:t>
      </w:r>
      <w:proofErr w:type="gramStart"/>
      <w:r>
        <w:rPr>
          <w:rFonts w:ascii="標楷體" w:eastAsia="標楷體" w:hAnsi="標楷體" w:cs="標楷體"/>
          <w:sz w:val="32"/>
          <w:szCs w:val="32"/>
        </w:rPr>
        <w:t>所定資通</w:t>
      </w:r>
      <w:proofErr w:type="gramEnd"/>
      <w:r>
        <w:rPr>
          <w:rFonts w:ascii="標楷體" w:eastAsia="標楷體" w:hAnsi="標楷體" w:cs="標楷體"/>
          <w:sz w:val="32"/>
          <w:szCs w:val="32"/>
        </w:rPr>
        <w:t>安全維護計畫，應包括下列事項：</w:t>
      </w:r>
    </w:p>
    <w:p w14:paraId="7F07BC9F"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一、核心業務及其重要性。</w:t>
      </w:r>
    </w:p>
    <w:p w14:paraId="7F07BCA0"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二、資通安全政策及目標。</w:t>
      </w:r>
    </w:p>
    <w:p w14:paraId="7F07BCA1"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三、資通安全推動組織。</w:t>
      </w:r>
    </w:p>
    <w:p w14:paraId="7F07BCA2"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四、專責人力及經費之配置。</w:t>
      </w:r>
    </w:p>
    <w:p w14:paraId="7F07BCA3"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五、公務機關資通安全長之配置。</w:t>
      </w:r>
    </w:p>
    <w:p w14:paraId="7F07BCA4"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六、資通系統及資訊之盤點，並標示核心資通系統及相關資產。</w:t>
      </w:r>
    </w:p>
    <w:p w14:paraId="7F07BCA5"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七、資通安全風險評估。</w:t>
      </w:r>
    </w:p>
    <w:p w14:paraId="7F07BCA6"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八、資通安全防護及控制措施。</w:t>
      </w:r>
    </w:p>
    <w:p w14:paraId="7F07BCA7" w14:textId="77777777" w:rsidR="00C35FC6" w:rsidRDefault="00A56165">
      <w:pPr>
        <w:pStyle w:val="Standard"/>
        <w:widowControl w:val="0"/>
        <w:overflowPunct w:val="0"/>
        <w:ind w:left="2410" w:hanging="730"/>
        <w:jc w:val="both"/>
        <w:rPr>
          <w:rFonts w:ascii="標楷體" w:eastAsia="標楷體" w:hAnsi="標楷體" w:cs="標楷體"/>
          <w:sz w:val="32"/>
          <w:szCs w:val="32"/>
        </w:rPr>
      </w:pPr>
      <w:r>
        <w:rPr>
          <w:rFonts w:ascii="標楷體" w:eastAsia="標楷體" w:hAnsi="標楷體" w:cs="標楷體"/>
          <w:sz w:val="32"/>
          <w:szCs w:val="32"/>
        </w:rPr>
        <w:t>九、資通安全事件通報、應變及演練相關機制。</w:t>
      </w:r>
    </w:p>
    <w:p w14:paraId="7F07BCA8"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十、資通</w:t>
      </w:r>
      <w:proofErr w:type="gramStart"/>
      <w:r>
        <w:rPr>
          <w:rFonts w:ascii="標楷體" w:eastAsia="標楷體" w:hAnsi="標楷體" w:cs="標楷體"/>
          <w:sz w:val="32"/>
          <w:szCs w:val="32"/>
        </w:rPr>
        <w:t>安全情資之</w:t>
      </w:r>
      <w:proofErr w:type="gramEnd"/>
      <w:r>
        <w:rPr>
          <w:rFonts w:ascii="標楷體" w:eastAsia="標楷體" w:hAnsi="標楷體" w:cs="標楷體"/>
          <w:sz w:val="32"/>
          <w:szCs w:val="32"/>
        </w:rPr>
        <w:t>評估及因應機制。</w:t>
      </w:r>
    </w:p>
    <w:p w14:paraId="7F07BCA9"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十一、資通系統或服務委外辦理之管理措施。</w:t>
      </w:r>
    </w:p>
    <w:p w14:paraId="7F07BCAA" w14:textId="77777777" w:rsidR="00C35FC6" w:rsidRDefault="00A56165">
      <w:pPr>
        <w:pStyle w:val="Standard"/>
        <w:widowControl w:val="0"/>
        <w:overflowPunct w:val="0"/>
        <w:ind w:left="2691" w:hanging="1011"/>
        <w:jc w:val="both"/>
        <w:rPr>
          <w:rFonts w:ascii="標楷體" w:eastAsia="標楷體" w:hAnsi="標楷體" w:cs="標楷體"/>
          <w:sz w:val="32"/>
          <w:szCs w:val="32"/>
        </w:rPr>
      </w:pPr>
      <w:r>
        <w:rPr>
          <w:rFonts w:ascii="標楷體" w:eastAsia="標楷體" w:hAnsi="標楷體" w:cs="標楷體"/>
          <w:sz w:val="32"/>
          <w:szCs w:val="32"/>
        </w:rPr>
        <w:t>十二、公務機關所屬人員辦理業務涉及資通安全事項之考核機制。</w:t>
      </w:r>
    </w:p>
    <w:p w14:paraId="7F07BCAB" w14:textId="77777777" w:rsidR="00C35FC6" w:rsidRDefault="00A56165">
      <w:pPr>
        <w:pStyle w:val="Standard"/>
        <w:widowControl w:val="0"/>
        <w:overflowPunct w:val="0"/>
        <w:ind w:left="2691" w:hanging="1011"/>
        <w:jc w:val="both"/>
        <w:rPr>
          <w:rFonts w:ascii="標楷體" w:eastAsia="標楷體" w:hAnsi="標楷體" w:cs="標楷體"/>
          <w:sz w:val="32"/>
          <w:szCs w:val="32"/>
        </w:rPr>
      </w:pPr>
      <w:r>
        <w:rPr>
          <w:rFonts w:ascii="標楷體" w:eastAsia="標楷體" w:hAnsi="標楷體" w:cs="標楷體"/>
          <w:sz w:val="32"/>
          <w:szCs w:val="32"/>
        </w:rPr>
        <w:t>十三、資通安全維護計畫與實施情形之持續精進及績效管理機制。</w:t>
      </w:r>
    </w:p>
    <w:p w14:paraId="7F07BCAC" w14:textId="77777777" w:rsidR="00C35FC6" w:rsidRDefault="00A56165">
      <w:pPr>
        <w:pStyle w:val="Standard"/>
        <w:widowControl w:val="0"/>
        <w:overflowPunct w:val="0"/>
        <w:ind w:left="992" w:hanging="992"/>
        <w:jc w:val="both"/>
      </w:pPr>
      <w:r>
        <w:rPr>
          <w:rFonts w:ascii="標楷體" w:eastAsia="標楷體" w:hAnsi="標楷體" w:cs="標楷體"/>
          <w:sz w:val="32"/>
          <w:szCs w:val="32"/>
        </w:rPr>
        <w:t xml:space="preserve">          </w:t>
      </w:r>
      <w:r>
        <w:rPr>
          <w:rFonts w:ascii="標楷體" w:eastAsia="標楷體" w:hAnsi="標楷體" w:cs="標楷體"/>
          <w:sz w:val="32"/>
          <w:szCs w:val="32"/>
        </w:rPr>
        <w:t>各機關依本法第十二條、第十六條第三項或第十七條第二項規定提出資通安全維護計畫實施情形，應包括前項各款之執行成果及相關說明。</w:t>
      </w:r>
    </w:p>
    <w:p w14:paraId="7F07BCAD" w14:textId="77777777" w:rsidR="00C35FC6" w:rsidRDefault="00A56165">
      <w:pPr>
        <w:pStyle w:val="Standard"/>
        <w:widowControl w:val="0"/>
        <w:overflowPunct w:val="0"/>
        <w:ind w:left="992" w:hanging="992"/>
        <w:jc w:val="both"/>
      </w:pPr>
      <w:r>
        <w:rPr>
          <w:rFonts w:ascii="標楷體" w:eastAsia="標楷體" w:hAnsi="標楷體" w:cs="標楷體"/>
          <w:sz w:val="32"/>
          <w:szCs w:val="32"/>
        </w:rPr>
        <w:t xml:space="preserve">          </w:t>
      </w:r>
      <w:proofErr w:type="gramStart"/>
      <w:r>
        <w:rPr>
          <w:rFonts w:ascii="標楷體" w:eastAsia="標楷體" w:hAnsi="標楷體" w:cs="標楷體"/>
          <w:sz w:val="32"/>
          <w:szCs w:val="32"/>
        </w:rPr>
        <w:t>第一項資通</w:t>
      </w:r>
      <w:proofErr w:type="gramEnd"/>
      <w:r>
        <w:rPr>
          <w:rFonts w:ascii="標楷體" w:eastAsia="標楷體" w:hAnsi="標楷體" w:cs="標楷體"/>
          <w:sz w:val="32"/>
          <w:szCs w:val="32"/>
        </w:rPr>
        <w:t>安全維護計畫之訂定、修正、實施及前項實施情形之提出，公務機關經其上級或監督機關同意，得由其上級、監督機關或其上級、監督機關所屬公務機關辦理；特定非公務機關經其中央目的事業主管機關同意，得由其中央目的事業主管機關、中央目</w:t>
      </w:r>
      <w:r>
        <w:rPr>
          <w:rFonts w:ascii="標楷體" w:eastAsia="標楷體" w:hAnsi="標楷體" w:cs="標楷體"/>
          <w:sz w:val="32"/>
          <w:szCs w:val="32"/>
        </w:rPr>
        <w:t>的事業主管機關所屬公務機關或中央目的事業主管機關所管特定非公務機關辦理。</w:t>
      </w:r>
    </w:p>
    <w:p w14:paraId="7F07BCAE" w14:textId="77777777" w:rsidR="00C35FC6" w:rsidRDefault="00A56165">
      <w:pPr>
        <w:pStyle w:val="Standard"/>
        <w:widowControl w:val="0"/>
        <w:overflowPunct w:val="0"/>
        <w:ind w:left="992" w:hanging="992"/>
        <w:jc w:val="both"/>
      </w:pPr>
      <w:r>
        <w:rPr>
          <w:rFonts w:ascii="標楷體" w:eastAsia="標楷體" w:hAnsi="標楷體" w:cs="標楷體"/>
          <w:sz w:val="32"/>
          <w:szCs w:val="32"/>
        </w:rPr>
        <w:t>第七條</w:t>
      </w:r>
      <w:r>
        <w:rPr>
          <w:rFonts w:ascii="標楷體" w:eastAsia="標楷體" w:hAnsi="標楷體" w:cs="標楷體"/>
          <w:sz w:val="32"/>
          <w:szCs w:val="32"/>
        </w:rPr>
        <w:t xml:space="preserve">    </w:t>
      </w:r>
      <w:r>
        <w:rPr>
          <w:rFonts w:ascii="標楷體" w:eastAsia="標楷體" w:hAnsi="標楷體" w:cs="標楷體"/>
          <w:sz w:val="32"/>
          <w:szCs w:val="32"/>
        </w:rPr>
        <w:t>前條第一項第一款所定核心業務，其範圍如下：</w:t>
      </w:r>
    </w:p>
    <w:p w14:paraId="7F07BCAF"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lastRenderedPageBreak/>
        <w:t>一、公務機關依其組織法規，足認該業務為機關核心權責所在。</w:t>
      </w:r>
    </w:p>
    <w:p w14:paraId="7F07BCB0"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二、公營事業及政府捐助之財團法人之主要服務或功能。</w:t>
      </w:r>
    </w:p>
    <w:p w14:paraId="7F07BCB1"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三、各機關維運、提供關鍵基礎設施所必要之業務。</w:t>
      </w:r>
    </w:p>
    <w:p w14:paraId="7F07BCB2" w14:textId="77777777" w:rsidR="00C35FC6" w:rsidRDefault="00A56165">
      <w:pPr>
        <w:pStyle w:val="Standard"/>
        <w:widowControl w:val="0"/>
        <w:overflowPunct w:val="0"/>
        <w:ind w:left="2320" w:hanging="640"/>
        <w:jc w:val="both"/>
        <w:rPr>
          <w:rFonts w:ascii="標楷體" w:eastAsia="標楷體" w:hAnsi="標楷體" w:cs="標楷體"/>
          <w:sz w:val="32"/>
          <w:szCs w:val="32"/>
        </w:rPr>
      </w:pPr>
      <w:r>
        <w:rPr>
          <w:rFonts w:ascii="標楷體" w:eastAsia="標楷體" w:hAnsi="標楷體" w:cs="標楷體"/>
          <w:sz w:val="32"/>
          <w:szCs w:val="32"/>
        </w:rPr>
        <w:t>四、各</w:t>
      </w:r>
      <w:proofErr w:type="gramStart"/>
      <w:r>
        <w:rPr>
          <w:rFonts w:ascii="標楷體" w:eastAsia="標楷體" w:hAnsi="標楷體" w:cs="標楷體"/>
          <w:sz w:val="32"/>
          <w:szCs w:val="32"/>
        </w:rPr>
        <w:t>機關依資通</w:t>
      </w:r>
      <w:proofErr w:type="gramEnd"/>
      <w:r>
        <w:rPr>
          <w:rFonts w:ascii="標楷體" w:eastAsia="標楷體" w:hAnsi="標楷體" w:cs="標楷體"/>
          <w:sz w:val="32"/>
          <w:szCs w:val="32"/>
        </w:rPr>
        <w:t>安全責任等級分級辦法第四條第一款至第五款或第五條第一款至第五款涉及之業務。</w:t>
      </w:r>
    </w:p>
    <w:p w14:paraId="7F07BCB3" w14:textId="77777777" w:rsidR="00C35FC6" w:rsidRDefault="00A56165">
      <w:pPr>
        <w:pStyle w:val="Standard"/>
        <w:widowControl w:val="0"/>
        <w:overflowPunct w:val="0"/>
        <w:ind w:left="992" w:hanging="992"/>
        <w:jc w:val="both"/>
      </w:pPr>
      <w:r>
        <w:rPr>
          <w:rFonts w:ascii="標楷體" w:eastAsia="標楷體" w:hAnsi="標楷體" w:cs="標楷體"/>
          <w:sz w:val="32"/>
          <w:szCs w:val="32"/>
        </w:rPr>
        <w:t xml:space="preserve">          </w:t>
      </w:r>
      <w:r>
        <w:rPr>
          <w:rFonts w:ascii="標楷體" w:eastAsia="標楷體" w:hAnsi="標楷體" w:cs="標楷體"/>
          <w:sz w:val="32"/>
          <w:szCs w:val="32"/>
        </w:rPr>
        <w:t>前條第一項第六款所稱核心資通系統，指支持核心業務持續運作必要之系統，</w:t>
      </w:r>
      <w:proofErr w:type="gramStart"/>
      <w:r>
        <w:rPr>
          <w:rFonts w:ascii="標楷體" w:eastAsia="標楷體" w:hAnsi="標楷體" w:cs="標楷體"/>
          <w:sz w:val="32"/>
          <w:szCs w:val="32"/>
        </w:rPr>
        <w:t>或依資通</w:t>
      </w:r>
      <w:proofErr w:type="gramEnd"/>
      <w:r>
        <w:rPr>
          <w:rFonts w:ascii="標楷體" w:eastAsia="標楷體" w:hAnsi="標楷體" w:cs="標楷體"/>
          <w:sz w:val="32"/>
          <w:szCs w:val="32"/>
        </w:rPr>
        <w:t>安全責任等級分級辦法附表九資通系統</w:t>
      </w:r>
      <w:r>
        <w:rPr>
          <w:rFonts w:ascii="標楷體" w:eastAsia="標楷體" w:hAnsi="標楷體" w:cs="標楷體"/>
          <w:sz w:val="32"/>
          <w:szCs w:val="32"/>
        </w:rPr>
        <w:t>防護需求分級原則之規定，判定其防護需求等級為高者。</w:t>
      </w:r>
    </w:p>
    <w:p w14:paraId="7F07BCB4" w14:textId="77777777" w:rsidR="00C35FC6" w:rsidRDefault="00A56165">
      <w:pPr>
        <w:pStyle w:val="Standard"/>
        <w:widowControl w:val="0"/>
        <w:overflowPunct w:val="0"/>
        <w:ind w:left="992" w:hanging="992"/>
        <w:jc w:val="both"/>
        <w:rPr>
          <w:rFonts w:ascii="標楷體" w:eastAsia="標楷體" w:hAnsi="標楷體" w:cs="標楷體"/>
          <w:sz w:val="32"/>
          <w:szCs w:val="32"/>
        </w:rPr>
      </w:pPr>
      <w:r>
        <w:rPr>
          <w:rFonts w:ascii="標楷體" w:eastAsia="標楷體" w:hAnsi="標楷體" w:cs="標楷體"/>
          <w:sz w:val="32"/>
          <w:szCs w:val="32"/>
        </w:rPr>
        <w:t>第十三條</w:t>
      </w:r>
      <w:r>
        <w:rPr>
          <w:rFonts w:ascii="標楷體" w:eastAsia="標楷體" w:hAnsi="標楷體" w:cs="標楷體"/>
          <w:sz w:val="32"/>
          <w:szCs w:val="32"/>
        </w:rPr>
        <w:t xml:space="preserve">    </w:t>
      </w:r>
      <w:r>
        <w:rPr>
          <w:rFonts w:ascii="標楷體" w:eastAsia="標楷體" w:hAnsi="標楷體" w:cs="標楷體"/>
          <w:sz w:val="32"/>
          <w:szCs w:val="32"/>
        </w:rPr>
        <w:t>本細則之施行日期，由主管機關定之。</w:t>
      </w:r>
    </w:p>
    <w:p w14:paraId="7F07BCB5" w14:textId="77777777" w:rsidR="00C35FC6" w:rsidRDefault="00A56165">
      <w:pPr>
        <w:pStyle w:val="Standard"/>
        <w:widowControl w:val="0"/>
        <w:overflowPunct w:val="0"/>
        <w:ind w:left="992" w:hanging="992"/>
        <w:jc w:val="both"/>
      </w:pPr>
      <w:r>
        <w:rPr>
          <w:rFonts w:ascii="標楷體" w:eastAsia="標楷體" w:hAnsi="標楷體" w:cs="標楷體"/>
          <w:sz w:val="32"/>
          <w:szCs w:val="32"/>
        </w:rPr>
        <w:t xml:space="preserve">            </w:t>
      </w:r>
      <w:r>
        <w:rPr>
          <w:rFonts w:ascii="標楷體" w:eastAsia="標楷體" w:hAnsi="標楷體" w:cs="標楷體"/>
          <w:sz w:val="32"/>
          <w:szCs w:val="32"/>
        </w:rPr>
        <w:t>本細則修正條文自發布日施行。</w:t>
      </w:r>
    </w:p>
    <w:sectPr w:rsidR="00C35FC6">
      <w:footerReference w:type="default" r:id="rId7"/>
      <w:pgSz w:w="11906" w:h="16838"/>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BCA1" w14:textId="77777777" w:rsidR="00000000" w:rsidRDefault="00A56165">
      <w:r>
        <w:separator/>
      </w:r>
    </w:p>
  </w:endnote>
  <w:endnote w:type="continuationSeparator" w:id="0">
    <w:p w14:paraId="7F07BCA3" w14:textId="77777777" w:rsidR="00000000" w:rsidRDefault="00A5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CA5" w14:textId="77777777" w:rsidR="002A64E8" w:rsidRDefault="00A56165">
    <w:pPr>
      <w:pStyle w:val="a9"/>
    </w:pPr>
    <w:r>
      <w:rPr>
        <w:noProof/>
      </w:rPr>
      <mc:AlternateContent>
        <mc:Choice Requires="wps">
          <w:drawing>
            <wp:anchor distT="0" distB="0" distL="114300" distR="114300" simplePos="0" relativeHeight="251659264" behindDoc="0" locked="0" layoutInCell="1" allowOverlap="1" wp14:anchorId="7F07BC9D" wp14:editId="7F07BC9E">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7F07BC9F" w14:textId="77777777" w:rsidR="002A64E8" w:rsidRDefault="00A56165">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wps:txbx>
                    <wps:bodyPr wrap="none" lIns="0" tIns="0" rIns="0" bIns="0" compatLnSpc="0">
                      <a:spAutoFit/>
                    </wps:bodyPr>
                  </wps:wsp>
                </a:graphicData>
              </a:graphic>
            </wp:anchor>
          </w:drawing>
        </mc:Choice>
        <mc:Fallback>
          <w:pict>
            <v:shapetype w14:anchorId="7F07BC9D"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14:paraId="7F07BC9F" w14:textId="77777777" w:rsidR="002A64E8" w:rsidRDefault="00A56165">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BC9D" w14:textId="77777777" w:rsidR="00000000" w:rsidRDefault="00A56165">
      <w:r>
        <w:rPr>
          <w:color w:val="000000"/>
        </w:rPr>
        <w:separator/>
      </w:r>
    </w:p>
  </w:footnote>
  <w:footnote w:type="continuationSeparator" w:id="0">
    <w:p w14:paraId="7F07BC9F" w14:textId="77777777" w:rsidR="00000000" w:rsidRDefault="00A5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B46"/>
    <w:multiLevelType w:val="multilevel"/>
    <w:tmpl w:val="CB9CDB96"/>
    <w:styleLink w:val="WW8Num3"/>
    <w:lvl w:ilvl="0">
      <w:start w:val="1"/>
      <w:numFmt w:val="japaneseCounting"/>
      <w:lvlText w:val="%1、"/>
      <w:lvlJc w:val="left"/>
      <w:pPr>
        <w:ind w:left="810" w:hanging="8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3E0E9E"/>
    <w:multiLevelType w:val="multilevel"/>
    <w:tmpl w:val="E786C5FE"/>
    <w:styleLink w:val="WW8Num2"/>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2" w15:restartNumberingAfterBreak="0">
    <w:nsid w:val="5A426159"/>
    <w:multiLevelType w:val="multilevel"/>
    <w:tmpl w:val="CB7AA1F0"/>
    <w:styleLink w:val="WW8Num4"/>
    <w:lvl w:ilvl="0">
      <w:start w:val="1"/>
      <w:numFmt w:val="japaneseCounting"/>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6DA1818"/>
    <w:multiLevelType w:val="multilevel"/>
    <w:tmpl w:val="17A8D994"/>
    <w:styleLink w:val="WW8Num1"/>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4" w15:restartNumberingAfterBreak="0">
    <w:nsid w:val="6DF644D6"/>
    <w:multiLevelType w:val="multilevel"/>
    <w:tmpl w:val="1BD2A81C"/>
    <w:styleLink w:val="WW8Num5"/>
    <w:lvl w:ilvl="0">
      <w:start w:val="1"/>
      <w:numFmt w:val="japaneseCounting"/>
      <w:lvlText w:val="%1、"/>
      <w:lvlJc w:val="left"/>
      <w:pPr>
        <w:ind w:left="798" w:hanging="480"/>
      </w:pPr>
      <w:rPr>
        <w:color w:val="FF0000"/>
        <w:sz w:val="24"/>
        <w:szCs w:val="24"/>
        <w:lang w:val="en-US"/>
      </w:rPr>
    </w:lvl>
    <w:lvl w:ilvl="1">
      <w:start w:val="1"/>
      <w:numFmt w:val="ideographTraditional"/>
      <w:lvlText w:val="%2、"/>
      <w:lvlJc w:val="left"/>
      <w:pPr>
        <w:ind w:left="2271" w:hanging="480"/>
      </w:pPr>
    </w:lvl>
    <w:lvl w:ilvl="2">
      <w:start w:val="1"/>
      <w:numFmt w:val="lowerRoman"/>
      <w:lvlText w:val="%3."/>
      <w:lvlJc w:val="right"/>
      <w:pPr>
        <w:ind w:left="2751" w:hanging="480"/>
      </w:pPr>
    </w:lvl>
    <w:lvl w:ilvl="3">
      <w:start w:val="1"/>
      <w:numFmt w:val="decimal"/>
      <w:lvlText w:val="%4."/>
      <w:lvlJc w:val="left"/>
      <w:pPr>
        <w:ind w:left="3231" w:hanging="480"/>
      </w:pPr>
    </w:lvl>
    <w:lvl w:ilvl="4">
      <w:start w:val="1"/>
      <w:numFmt w:val="ideographTraditional"/>
      <w:lvlText w:val="%5、"/>
      <w:lvlJc w:val="left"/>
      <w:pPr>
        <w:ind w:left="3711" w:hanging="480"/>
      </w:pPr>
    </w:lvl>
    <w:lvl w:ilvl="5">
      <w:start w:val="1"/>
      <w:numFmt w:val="lowerRoman"/>
      <w:lvlText w:val="%6."/>
      <w:lvlJc w:val="right"/>
      <w:pPr>
        <w:ind w:left="4191" w:hanging="480"/>
      </w:pPr>
    </w:lvl>
    <w:lvl w:ilvl="6">
      <w:start w:val="1"/>
      <w:numFmt w:val="decimal"/>
      <w:lvlText w:val="%7."/>
      <w:lvlJc w:val="left"/>
      <w:pPr>
        <w:ind w:left="4671" w:hanging="480"/>
      </w:pPr>
    </w:lvl>
    <w:lvl w:ilvl="7">
      <w:start w:val="1"/>
      <w:numFmt w:val="ideographTraditional"/>
      <w:lvlText w:val="%8、"/>
      <w:lvlJc w:val="left"/>
      <w:pPr>
        <w:ind w:left="5151" w:hanging="480"/>
      </w:pPr>
    </w:lvl>
    <w:lvl w:ilvl="8">
      <w:start w:val="1"/>
      <w:numFmt w:val="lowerRoman"/>
      <w:lvlText w:val="%9."/>
      <w:lvlJc w:val="right"/>
      <w:pPr>
        <w:ind w:left="5631"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35FC6"/>
    <w:rsid w:val="00A56165"/>
    <w:rsid w:val="00C35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BC9D"/>
  <w15:docId w15:val="{897E2440-C00E-4441-B819-4F1D28A7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line="360" w:lineRule="atLeast"/>
      <w:ind w:right="113"/>
      <w:jc w:val="both"/>
    </w:pPr>
    <w:rPr>
      <w:rFonts w:ascii="全真楷書, 細明體" w:eastAsia="全真楷書, 細明體" w:hAnsi="全真楷書, 細明體" w:cs="全真楷書, 細明體"/>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1">
    <w:name w:val="Contents 1"/>
    <w:basedOn w:val="Standard"/>
    <w:next w:val="Standard"/>
    <w:pPr>
      <w:widowControl w:val="0"/>
    </w:pPr>
    <w:rPr>
      <w:rFonts w:eastAsia="標楷體"/>
      <w:b/>
      <w:bCs/>
      <w:sz w:val="28"/>
    </w:rPr>
  </w:style>
  <w:style w:type="paragraph" w:customStyle="1" w:styleId="Contents3">
    <w:name w:val="Contents 3"/>
    <w:basedOn w:val="Standard"/>
    <w:next w:val="Standard"/>
    <w:pPr>
      <w:widowControl w:val="0"/>
      <w:ind w:firstLine="680"/>
    </w:pPr>
    <w:rPr>
      <w:rFonts w:eastAsia="標楷體"/>
      <w:bCs/>
    </w:rPr>
  </w:style>
  <w:style w:type="paragraph" w:customStyle="1" w:styleId="Contents5">
    <w:name w:val="Contents 5"/>
    <w:basedOn w:val="Standard"/>
    <w:next w:val="Standard"/>
    <w:pPr>
      <w:widowControl w:val="0"/>
      <w:ind w:left="1920" w:hanging="1920"/>
    </w:pPr>
    <w:rPr>
      <w:rFonts w:eastAsia="標楷體"/>
      <w:bCs/>
    </w:rPr>
  </w:style>
  <w:style w:type="paragraph" w:customStyle="1" w:styleId="a5">
    <w:name w:val="受文者"/>
    <w:basedOn w:val="Standard"/>
    <w:pPr>
      <w:widowControl w:val="0"/>
      <w:snapToGrid w:val="0"/>
      <w:spacing w:line="240" w:lineRule="atLeast"/>
    </w:pPr>
    <w:rPr>
      <w:rFonts w:ascii="Arial" w:eastAsia="標楷體" w:hAnsi="Arial" w:cs="Arial"/>
      <w:sz w:val="32"/>
      <w:szCs w:val="32"/>
    </w:rPr>
  </w:style>
  <w:style w:type="paragraph" w:customStyle="1" w:styleId="a6">
    <w:name w:val="第一條"/>
    <w:basedOn w:val="Standard"/>
    <w:pPr>
      <w:widowControl w:val="0"/>
      <w:spacing w:line="460" w:lineRule="exact"/>
      <w:ind w:left="625" w:hanging="625"/>
      <w:jc w:val="both"/>
    </w:pPr>
    <w:rPr>
      <w:rFonts w:eastAsia="標楷體"/>
      <w:spacing w:val="10"/>
      <w:sz w:val="26"/>
    </w:rPr>
  </w:style>
  <w:style w:type="paragraph" w:customStyle="1" w:styleId="a7">
    <w:name w:val="條一"/>
    <w:basedOn w:val="Standard"/>
    <w:pPr>
      <w:widowControl w:val="0"/>
      <w:spacing w:line="460" w:lineRule="exact"/>
      <w:ind w:left="850" w:hanging="225"/>
      <w:jc w:val="both"/>
    </w:pPr>
    <w:rPr>
      <w:rFonts w:eastAsia="標楷體"/>
      <w:spacing w:val="10"/>
      <w:sz w:val="26"/>
    </w:rPr>
  </w:style>
  <w:style w:type="paragraph" w:customStyle="1" w:styleId="Textbodyindent">
    <w:name w:val="Text body indent"/>
    <w:basedOn w:val="Standard"/>
    <w:pPr>
      <w:ind w:left="2119" w:hanging="319"/>
    </w:pPr>
    <w:rPr>
      <w:rFonts w:ascii="標楷體" w:eastAsia="標楷體" w:hAnsi="標楷體" w:cs="標楷體"/>
      <w:sz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aa">
    <w:name w:val="公文(後續段落)"/>
    <w:pPr>
      <w:widowControl/>
      <w:snapToGrid w:val="0"/>
      <w:spacing w:line="578" w:lineRule="exact"/>
      <w:ind w:left="340"/>
      <w:textAlignment w:val="center"/>
    </w:pPr>
    <w:rPr>
      <w:rFonts w:ascii="Times New Roman" w:eastAsia="標楷體" w:hAnsi="Times New Roman" w:cs="Times New Roman"/>
      <w:sz w:val="32"/>
      <w:szCs w:val="20"/>
      <w:lang w:bidi="ar-SA"/>
    </w:rPr>
  </w:style>
  <w:style w:type="paragraph" w:styleId="ab">
    <w:name w:val="List Paragraph"/>
    <w:basedOn w:val="Standard"/>
    <w:pPr>
      <w:widowControl w:val="0"/>
      <w:ind w:left="480"/>
    </w:pPr>
    <w:rPr>
      <w:rFonts w:ascii="Calibri" w:eastAsia="Calibri" w:hAnsi="Calibri" w:cs="Calibri"/>
      <w:szCs w:val="22"/>
    </w:rPr>
  </w:style>
  <w:style w:type="paragraph" w:customStyle="1" w:styleId="Framecontents">
    <w:name w:val="Frame contents"/>
    <w:basedOn w:val="Standar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FF0000"/>
      <w:sz w:val="24"/>
      <w:szCs w:val="24"/>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c">
    <w:name w:val="page number"/>
    <w:basedOn w:val="a0"/>
  </w:style>
  <w:style w:type="character" w:customStyle="1" w:styleId="ad">
    <w:name w:val="清單段落 字元"/>
    <w:rPr>
      <w:rFonts w:ascii="Calibri" w:eastAsia="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wlgong</dc:creator>
  <cp:keywords/>
  <cp:lastModifiedBy>鹽烤 研考</cp:lastModifiedBy>
  <cp:revision>2</cp:revision>
  <dcterms:created xsi:type="dcterms:W3CDTF">2021-09-14T01:07:00Z</dcterms:created>
  <dcterms:modified xsi:type="dcterms:W3CDTF">2021-09-14T01:07:00Z</dcterms:modified>
</cp:coreProperties>
</file>