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ADC" w:rsidRPr="00386ADC" w:rsidRDefault="00386ADC" w:rsidP="00386ADC">
      <w:pPr>
        <w:widowControl/>
        <w:shd w:val="clear" w:color="auto" w:fill="FFFFFF"/>
        <w:spacing w:before="360" w:after="360"/>
        <w:outlineLvl w:val="1"/>
        <w:rPr>
          <w:rFonts w:ascii="inherit" w:eastAsia="細明體" w:hAnsi="inherit" w:cs="新細明體"/>
          <w:b/>
          <w:bCs/>
          <w:color w:val="333333"/>
          <w:kern w:val="0"/>
          <w:sz w:val="23"/>
          <w:szCs w:val="23"/>
        </w:rPr>
      </w:pPr>
      <w:r w:rsidRPr="00386ADC">
        <w:rPr>
          <w:rFonts w:ascii="inherit" w:eastAsia="細明體" w:hAnsi="inherit" w:cs="新細明體"/>
          <w:b/>
          <w:bCs/>
          <w:color w:val="333333"/>
          <w:kern w:val="0"/>
          <w:sz w:val="23"/>
          <w:szCs w:val="23"/>
        </w:rPr>
        <w:t>所有條文</w:t>
      </w:r>
    </w:p>
    <w:tbl>
      <w:tblPr>
        <w:tblW w:w="9600" w:type="dxa"/>
        <w:tblCellMar>
          <w:top w:w="15" w:type="dxa"/>
          <w:left w:w="15" w:type="dxa"/>
          <w:bottom w:w="15" w:type="dxa"/>
          <w:right w:w="15" w:type="dxa"/>
        </w:tblCellMar>
        <w:tblLook w:val="04A0" w:firstRow="1" w:lastRow="0" w:firstColumn="1" w:lastColumn="0" w:noHBand="0" w:noVBand="1"/>
      </w:tblPr>
      <w:tblGrid>
        <w:gridCol w:w="1410"/>
        <w:gridCol w:w="8190"/>
      </w:tblGrid>
      <w:tr w:rsidR="00386ADC" w:rsidRPr="00386ADC" w:rsidTr="00386ADC">
        <w:tc>
          <w:tcPr>
            <w:tcW w:w="1410" w:type="dxa"/>
            <w:tcBorders>
              <w:top w:val="single" w:sz="6" w:space="0" w:color="DDDDDD"/>
            </w:tcBorders>
            <w:shd w:val="clear" w:color="auto" w:fill="auto"/>
            <w:noWrap/>
            <w:tcMar>
              <w:top w:w="120" w:type="dxa"/>
              <w:left w:w="120" w:type="dxa"/>
              <w:bottom w:w="120" w:type="dxa"/>
              <w:right w:w="120" w:type="dxa"/>
            </w:tcMar>
            <w:hideMark/>
          </w:tcPr>
          <w:p w:rsidR="00386ADC" w:rsidRPr="00386ADC" w:rsidRDefault="00386ADC" w:rsidP="00386ADC">
            <w:pPr>
              <w:widowControl/>
              <w:spacing w:after="300"/>
              <w:rPr>
                <w:rFonts w:ascii="新細明體" w:eastAsia="新細明體" w:hAnsi="新細明體" w:cs="新細明體"/>
                <w:b/>
                <w:bCs/>
                <w:kern w:val="0"/>
                <w:szCs w:val="24"/>
              </w:rPr>
            </w:pPr>
            <w:r w:rsidRPr="00386ADC">
              <w:rPr>
                <w:rFonts w:ascii="新細明體" w:eastAsia="新細明體" w:hAnsi="新細明體" w:cs="新細明體"/>
                <w:b/>
                <w:bCs/>
                <w:kern w:val="0"/>
                <w:szCs w:val="24"/>
              </w:rPr>
              <w:t>法規名稱：</w:t>
            </w:r>
          </w:p>
        </w:tc>
        <w:tc>
          <w:tcPr>
            <w:tcW w:w="0" w:type="auto"/>
            <w:tcBorders>
              <w:top w:val="single" w:sz="6" w:space="0" w:color="DDDDDD"/>
            </w:tcBorders>
            <w:shd w:val="clear" w:color="auto" w:fill="auto"/>
            <w:tcMar>
              <w:top w:w="120" w:type="dxa"/>
              <w:left w:w="120" w:type="dxa"/>
              <w:bottom w:w="120" w:type="dxa"/>
              <w:right w:w="120" w:type="dxa"/>
            </w:tcMar>
            <w:hideMark/>
          </w:tcPr>
          <w:p w:rsidR="00386ADC" w:rsidRPr="00386ADC" w:rsidRDefault="00386ADC" w:rsidP="00386ADC">
            <w:pPr>
              <w:widowControl/>
              <w:spacing w:after="300"/>
              <w:rPr>
                <w:rFonts w:ascii="新細明體" w:eastAsia="新細明體" w:hAnsi="新細明體" w:cs="新細明體"/>
                <w:kern w:val="0"/>
                <w:szCs w:val="24"/>
              </w:rPr>
            </w:pPr>
            <w:r w:rsidRPr="00386ADC">
              <w:rPr>
                <w:rFonts w:ascii="新細明體" w:eastAsia="新細明體" w:hAnsi="新細明體" w:cs="新細明體"/>
                <w:kern w:val="0"/>
                <w:szCs w:val="24"/>
              </w:rPr>
              <w:t>公職人員利益衝突迴避法 </w:t>
            </w:r>
            <w:r w:rsidRPr="00386ADC">
              <w:rPr>
                <w:rFonts w:ascii="新細明體" w:eastAsia="新細明體" w:hAnsi="新細明體" w:cs="新細明體"/>
                <w:kern w:val="0"/>
                <w:sz w:val="15"/>
                <w:szCs w:val="15"/>
                <w:bdr w:val="single" w:sz="6" w:space="2" w:color="999999" w:frame="1"/>
              </w:rPr>
              <w:t>EN</w:t>
            </w:r>
          </w:p>
        </w:tc>
      </w:tr>
      <w:tr w:rsidR="00386ADC" w:rsidRPr="00386ADC" w:rsidTr="00386ADC">
        <w:tc>
          <w:tcPr>
            <w:tcW w:w="1410" w:type="dxa"/>
            <w:tcBorders>
              <w:top w:val="single" w:sz="6" w:space="0" w:color="DDDDDD"/>
            </w:tcBorders>
            <w:shd w:val="clear" w:color="auto" w:fill="auto"/>
            <w:noWrap/>
            <w:tcMar>
              <w:top w:w="120" w:type="dxa"/>
              <w:left w:w="120" w:type="dxa"/>
              <w:bottom w:w="120" w:type="dxa"/>
              <w:right w:w="120" w:type="dxa"/>
            </w:tcMar>
            <w:hideMark/>
          </w:tcPr>
          <w:p w:rsidR="00386ADC" w:rsidRPr="00386ADC" w:rsidRDefault="00386ADC" w:rsidP="00386ADC">
            <w:pPr>
              <w:widowControl/>
              <w:spacing w:after="300"/>
              <w:rPr>
                <w:rFonts w:ascii="新細明體" w:eastAsia="新細明體" w:hAnsi="新細明體" w:cs="新細明體"/>
                <w:b/>
                <w:bCs/>
                <w:kern w:val="0"/>
                <w:szCs w:val="24"/>
              </w:rPr>
            </w:pPr>
            <w:r w:rsidRPr="00386ADC">
              <w:rPr>
                <w:rFonts w:ascii="新細明體" w:eastAsia="新細明體" w:hAnsi="新細明體" w:cs="新細明體"/>
                <w:b/>
                <w:bCs/>
                <w:kern w:val="0"/>
                <w:szCs w:val="24"/>
              </w:rPr>
              <w:t>修正日期：</w:t>
            </w:r>
          </w:p>
        </w:tc>
        <w:tc>
          <w:tcPr>
            <w:tcW w:w="0" w:type="auto"/>
            <w:tcBorders>
              <w:top w:val="single" w:sz="6" w:space="0" w:color="DDDDDD"/>
            </w:tcBorders>
            <w:shd w:val="clear" w:color="auto" w:fill="auto"/>
            <w:tcMar>
              <w:top w:w="120" w:type="dxa"/>
              <w:left w:w="120" w:type="dxa"/>
              <w:bottom w:w="120" w:type="dxa"/>
              <w:right w:w="120" w:type="dxa"/>
            </w:tcMar>
            <w:hideMark/>
          </w:tcPr>
          <w:p w:rsidR="00386ADC" w:rsidRPr="00386ADC" w:rsidRDefault="00386ADC" w:rsidP="00386ADC">
            <w:pPr>
              <w:widowControl/>
              <w:spacing w:after="300"/>
              <w:rPr>
                <w:rFonts w:ascii="新細明體" w:eastAsia="新細明體" w:hAnsi="新細明體" w:cs="新細明體"/>
                <w:kern w:val="0"/>
                <w:szCs w:val="24"/>
              </w:rPr>
            </w:pPr>
            <w:r w:rsidRPr="00386ADC">
              <w:rPr>
                <w:rFonts w:ascii="新細明體" w:eastAsia="新細明體" w:hAnsi="新細明體" w:cs="新細明體"/>
                <w:kern w:val="0"/>
                <w:szCs w:val="24"/>
              </w:rPr>
              <w:t>民國 107 年 06 月 13 日</w:t>
            </w:r>
          </w:p>
        </w:tc>
      </w:tr>
      <w:tr w:rsidR="00386ADC" w:rsidRPr="00386ADC" w:rsidTr="00386ADC">
        <w:tc>
          <w:tcPr>
            <w:tcW w:w="1410" w:type="dxa"/>
            <w:tcBorders>
              <w:top w:val="single" w:sz="6" w:space="0" w:color="DDDDDD"/>
            </w:tcBorders>
            <w:shd w:val="clear" w:color="auto" w:fill="auto"/>
            <w:noWrap/>
            <w:tcMar>
              <w:top w:w="120" w:type="dxa"/>
              <w:left w:w="120" w:type="dxa"/>
              <w:bottom w:w="120" w:type="dxa"/>
              <w:right w:w="120" w:type="dxa"/>
            </w:tcMar>
            <w:hideMark/>
          </w:tcPr>
          <w:p w:rsidR="00386ADC" w:rsidRPr="00386ADC" w:rsidRDefault="00386ADC" w:rsidP="00386ADC">
            <w:pPr>
              <w:widowControl/>
              <w:spacing w:after="300"/>
              <w:rPr>
                <w:rFonts w:ascii="新細明體" w:eastAsia="新細明體" w:hAnsi="新細明體" w:cs="新細明體"/>
                <w:b/>
                <w:bCs/>
                <w:kern w:val="0"/>
                <w:szCs w:val="24"/>
              </w:rPr>
            </w:pPr>
            <w:r w:rsidRPr="00386ADC">
              <w:rPr>
                <w:rFonts w:ascii="新細明體" w:eastAsia="新細明體" w:hAnsi="新細明體" w:cs="新細明體"/>
                <w:b/>
                <w:bCs/>
                <w:kern w:val="0"/>
                <w:szCs w:val="24"/>
              </w:rPr>
              <w:t>法規類別：</w:t>
            </w:r>
          </w:p>
        </w:tc>
        <w:tc>
          <w:tcPr>
            <w:tcW w:w="0" w:type="auto"/>
            <w:tcBorders>
              <w:top w:val="single" w:sz="6" w:space="0" w:color="DDDDDD"/>
            </w:tcBorders>
            <w:shd w:val="clear" w:color="auto" w:fill="auto"/>
            <w:tcMar>
              <w:top w:w="120" w:type="dxa"/>
              <w:left w:w="120" w:type="dxa"/>
              <w:bottom w:w="120" w:type="dxa"/>
              <w:right w:w="120" w:type="dxa"/>
            </w:tcMar>
            <w:hideMark/>
          </w:tcPr>
          <w:p w:rsidR="00386ADC" w:rsidRPr="00386ADC" w:rsidRDefault="00386ADC" w:rsidP="00386ADC">
            <w:pPr>
              <w:widowControl/>
              <w:spacing w:after="300"/>
              <w:rPr>
                <w:rFonts w:ascii="新細明體" w:eastAsia="新細明體" w:hAnsi="新細明體" w:cs="新細明體"/>
                <w:kern w:val="0"/>
                <w:szCs w:val="24"/>
              </w:rPr>
            </w:pPr>
            <w:r w:rsidRPr="00386ADC">
              <w:rPr>
                <w:rFonts w:ascii="新細明體" w:eastAsia="新細明體" w:hAnsi="新細明體" w:cs="新細明體"/>
                <w:kern w:val="0"/>
                <w:szCs w:val="24"/>
              </w:rPr>
              <w:t xml:space="preserve">行政 ＞ 法務部 ＞ </w:t>
            </w:r>
            <w:proofErr w:type="gramStart"/>
            <w:r w:rsidRPr="00386ADC">
              <w:rPr>
                <w:rFonts w:ascii="新細明體" w:eastAsia="新細明體" w:hAnsi="新細明體" w:cs="新細明體"/>
                <w:kern w:val="0"/>
                <w:szCs w:val="24"/>
              </w:rPr>
              <w:t>廉政目</w:t>
            </w:r>
            <w:proofErr w:type="gramEnd"/>
          </w:p>
        </w:tc>
      </w:tr>
    </w:tbl>
    <w:p w:rsidR="00386ADC" w:rsidRPr="00386ADC" w:rsidRDefault="00386ADC" w:rsidP="00386ADC">
      <w:pPr>
        <w:widowControl/>
        <w:shd w:val="clear" w:color="auto" w:fill="FFFFFF"/>
        <w:spacing w:line="383" w:lineRule="atLeast"/>
        <w:jc w:val="right"/>
        <w:rPr>
          <w:rFonts w:ascii="細明體" w:eastAsia="細明體" w:hAnsi="細明體" w:cs="新細明體"/>
          <w:color w:val="333333"/>
          <w:kern w:val="0"/>
          <w:sz w:val="23"/>
          <w:szCs w:val="23"/>
        </w:rPr>
      </w:pPr>
      <w:r w:rsidRPr="00386ADC">
        <w:rPr>
          <w:rFonts w:ascii="細明體" w:eastAsia="細明體" w:hAnsi="細明體" w:cs="新細明體" w:hint="eastAsia"/>
          <w:color w:val="333333"/>
          <w:kern w:val="0"/>
          <w:sz w:val="23"/>
          <w:szCs w:val="23"/>
        </w:rPr>
        <w:t>第 1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為促進廉能政治、端正政治風氣，建立公職人員利益衝突迴避之規範，有</w:t>
      </w:r>
      <w:r w:rsidRPr="00386ADC">
        <w:rPr>
          <w:rFonts w:ascii="細明體" w:eastAsia="細明體" w:hAnsi="細明體" w:cs="新細明體" w:hint="eastAsia"/>
          <w:color w:val="333333"/>
          <w:kern w:val="0"/>
          <w:sz w:val="23"/>
          <w:szCs w:val="23"/>
        </w:rPr>
        <w:br/>
        <w:t>效遏阻貪污腐化及不當利益輸送，特制定本法。</w:t>
      </w:r>
      <w:r w:rsidRPr="00386ADC">
        <w:rPr>
          <w:rFonts w:ascii="細明體" w:eastAsia="細明體" w:hAnsi="細明體" w:cs="新細明體" w:hint="eastAsia"/>
          <w:color w:val="333333"/>
          <w:kern w:val="0"/>
          <w:sz w:val="23"/>
          <w:szCs w:val="23"/>
        </w:rPr>
        <w:br/>
        <w:t>公職人員利益衝突之迴避，除其他法律另有嚴格規定者外，適用本法之</w:t>
      </w:r>
      <w:proofErr w:type="gramStart"/>
      <w:r w:rsidRPr="00386ADC">
        <w:rPr>
          <w:rFonts w:ascii="細明體" w:eastAsia="細明體" w:hAnsi="細明體" w:cs="新細明體" w:hint="eastAsia"/>
          <w:color w:val="333333"/>
          <w:kern w:val="0"/>
          <w:sz w:val="23"/>
          <w:szCs w:val="23"/>
        </w:rPr>
        <w:t>規</w:t>
      </w:r>
      <w:proofErr w:type="gramEnd"/>
      <w:r w:rsidRPr="00386ADC">
        <w:rPr>
          <w:rFonts w:ascii="細明體" w:eastAsia="細明體" w:hAnsi="細明體" w:cs="新細明體" w:hint="eastAsia"/>
          <w:color w:val="333333"/>
          <w:kern w:val="0"/>
          <w:sz w:val="23"/>
          <w:szCs w:val="23"/>
        </w:rPr>
        <w:br/>
        <w:t>定。</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2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本法所稱公職人員，其範圍如下：</w:t>
      </w:r>
      <w:r w:rsidRPr="00386ADC">
        <w:rPr>
          <w:rFonts w:ascii="細明體" w:eastAsia="細明體" w:hAnsi="細明體" w:cs="新細明體" w:hint="eastAsia"/>
          <w:color w:val="333333"/>
          <w:kern w:val="0"/>
          <w:sz w:val="23"/>
          <w:szCs w:val="23"/>
        </w:rPr>
        <w:br/>
        <w:t>一、總統、副總統。</w:t>
      </w:r>
      <w:r w:rsidRPr="00386ADC">
        <w:rPr>
          <w:rFonts w:ascii="細明體" w:eastAsia="細明體" w:hAnsi="細明體" w:cs="新細明體" w:hint="eastAsia"/>
          <w:color w:val="333333"/>
          <w:kern w:val="0"/>
          <w:sz w:val="23"/>
          <w:szCs w:val="23"/>
        </w:rPr>
        <w:br/>
        <w:t>二、各級政府機關（構）、公營事業總、分支機構之首長、副首長、幕僚</w:t>
      </w:r>
      <w:r w:rsidRPr="00386ADC">
        <w:rPr>
          <w:rFonts w:ascii="細明體" w:eastAsia="細明體" w:hAnsi="細明體" w:cs="新細明體" w:hint="eastAsia"/>
          <w:color w:val="333333"/>
          <w:kern w:val="0"/>
          <w:sz w:val="23"/>
          <w:szCs w:val="23"/>
        </w:rPr>
        <w:br/>
        <w:t xml:space="preserve">    長、副幕僚長與該等職務之人。</w:t>
      </w:r>
      <w:r w:rsidRPr="00386ADC">
        <w:rPr>
          <w:rFonts w:ascii="細明體" w:eastAsia="細明體" w:hAnsi="細明體" w:cs="新細明體" w:hint="eastAsia"/>
          <w:color w:val="333333"/>
          <w:kern w:val="0"/>
          <w:sz w:val="23"/>
          <w:szCs w:val="23"/>
        </w:rPr>
        <w:br/>
        <w:t>三、政務人員。</w:t>
      </w:r>
      <w:r w:rsidRPr="00386ADC">
        <w:rPr>
          <w:rFonts w:ascii="細明體" w:eastAsia="細明體" w:hAnsi="細明體" w:cs="新細明體" w:hint="eastAsia"/>
          <w:color w:val="333333"/>
          <w:kern w:val="0"/>
          <w:sz w:val="23"/>
          <w:szCs w:val="23"/>
        </w:rPr>
        <w:br/>
        <w:t>四、各級公立學校、軍警院校、矯正學校校長、副校長；其設有附屬機構</w:t>
      </w:r>
      <w:r w:rsidRPr="00386ADC">
        <w:rPr>
          <w:rFonts w:ascii="細明體" w:eastAsia="細明體" w:hAnsi="細明體" w:cs="新細明體" w:hint="eastAsia"/>
          <w:color w:val="333333"/>
          <w:kern w:val="0"/>
          <w:sz w:val="23"/>
          <w:szCs w:val="23"/>
        </w:rPr>
        <w:br/>
        <w:t xml:space="preserve">    者，該機構之首長、副首長。</w:t>
      </w:r>
      <w:r w:rsidRPr="00386ADC">
        <w:rPr>
          <w:rFonts w:ascii="細明體" w:eastAsia="細明體" w:hAnsi="細明體" w:cs="新細明體" w:hint="eastAsia"/>
          <w:color w:val="333333"/>
          <w:kern w:val="0"/>
          <w:sz w:val="23"/>
          <w:szCs w:val="23"/>
        </w:rPr>
        <w:br/>
        <w:t>五、各級民意機關之民意代表。</w:t>
      </w:r>
      <w:r w:rsidRPr="00386ADC">
        <w:rPr>
          <w:rFonts w:ascii="細明體" w:eastAsia="細明體" w:hAnsi="細明體" w:cs="新細明體" w:hint="eastAsia"/>
          <w:color w:val="333333"/>
          <w:kern w:val="0"/>
          <w:sz w:val="23"/>
          <w:szCs w:val="23"/>
        </w:rPr>
        <w:br/>
        <w:t>六、代表政府或公股出任其出資、捐助之私法人之董事、監察人與該等職</w:t>
      </w:r>
      <w:r w:rsidRPr="00386ADC">
        <w:rPr>
          <w:rFonts w:ascii="細明體" w:eastAsia="細明體" w:hAnsi="細明體" w:cs="新細明體" w:hint="eastAsia"/>
          <w:color w:val="333333"/>
          <w:kern w:val="0"/>
          <w:sz w:val="23"/>
          <w:szCs w:val="23"/>
        </w:rPr>
        <w:br/>
        <w:t xml:space="preserve">    </w:t>
      </w:r>
      <w:proofErr w:type="gramStart"/>
      <w:r w:rsidRPr="00386ADC">
        <w:rPr>
          <w:rFonts w:ascii="細明體" w:eastAsia="細明體" w:hAnsi="細明體" w:cs="新細明體" w:hint="eastAsia"/>
          <w:color w:val="333333"/>
          <w:kern w:val="0"/>
          <w:sz w:val="23"/>
          <w:szCs w:val="23"/>
        </w:rPr>
        <w:t>務</w:t>
      </w:r>
      <w:proofErr w:type="gramEnd"/>
      <w:r w:rsidRPr="00386ADC">
        <w:rPr>
          <w:rFonts w:ascii="細明體" w:eastAsia="細明體" w:hAnsi="細明體" w:cs="新細明體" w:hint="eastAsia"/>
          <w:color w:val="333333"/>
          <w:kern w:val="0"/>
          <w:sz w:val="23"/>
          <w:szCs w:val="23"/>
        </w:rPr>
        <w:t>之人。</w:t>
      </w:r>
      <w:r w:rsidRPr="00386ADC">
        <w:rPr>
          <w:rFonts w:ascii="細明體" w:eastAsia="細明體" w:hAnsi="細明體" w:cs="新細明體" w:hint="eastAsia"/>
          <w:color w:val="333333"/>
          <w:kern w:val="0"/>
          <w:sz w:val="23"/>
          <w:szCs w:val="23"/>
        </w:rPr>
        <w:br/>
        <w:t>七、公法人之董事、監察人、首長、執行長與該等職務之人。</w:t>
      </w:r>
      <w:r w:rsidRPr="00386ADC">
        <w:rPr>
          <w:rFonts w:ascii="細明體" w:eastAsia="細明體" w:hAnsi="細明體" w:cs="新細明體" w:hint="eastAsia"/>
          <w:color w:val="333333"/>
          <w:kern w:val="0"/>
          <w:sz w:val="23"/>
          <w:szCs w:val="23"/>
        </w:rPr>
        <w:br/>
        <w:t>八、政府捐助之財團法人之董事長、執行長、秘書長與該等職務之人。</w:t>
      </w:r>
      <w:r w:rsidRPr="00386ADC">
        <w:rPr>
          <w:rFonts w:ascii="細明體" w:eastAsia="細明體" w:hAnsi="細明體" w:cs="新細明體" w:hint="eastAsia"/>
          <w:color w:val="333333"/>
          <w:kern w:val="0"/>
          <w:sz w:val="23"/>
          <w:szCs w:val="23"/>
        </w:rPr>
        <w:br/>
        <w:t>九、法官、檢察官、戰時軍法官、行政執行官、司法事務官及檢察事務官</w:t>
      </w:r>
      <w:r w:rsidRPr="00386ADC">
        <w:rPr>
          <w:rFonts w:ascii="細明體" w:eastAsia="細明體" w:hAnsi="細明體" w:cs="新細明體" w:hint="eastAsia"/>
          <w:color w:val="333333"/>
          <w:kern w:val="0"/>
          <w:sz w:val="23"/>
          <w:szCs w:val="23"/>
        </w:rPr>
        <w:br/>
        <w:t xml:space="preserve">    。</w:t>
      </w:r>
      <w:r w:rsidRPr="00386ADC">
        <w:rPr>
          <w:rFonts w:ascii="細明體" w:eastAsia="細明體" w:hAnsi="細明體" w:cs="新細明體" w:hint="eastAsia"/>
          <w:color w:val="333333"/>
          <w:kern w:val="0"/>
          <w:sz w:val="23"/>
          <w:szCs w:val="23"/>
        </w:rPr>
        <w:br/>
        <w:t>十、各級軍事機關（構）及部隊上校編階以上之主官、副主官。</w:t>
      </w:r>
      <w:r w:rsidRPr="00386ADC">
        <w:rPr>
          <w:rFonts w:ascii="細明體" w:eastAsia="細明體" w:hAnsi="細明體" w:cs="新細明體" w:hint="eastAsia"/>
          <w:color w:val="333333"/>
          <w:kern w:val="0"/>
          <w:sz w:val="23"/>
          <w:szCs w:val="23"/>
        </w:rPr>
        <w:br/>
        <w:t>十一、其他各級政府機關（構）、公營事業機構、各級公立學校、軍警院</w:t>
      </w:r>
      <w:r w:rsidRPr="00386ADC">
        <w:rPr>
          <w:rFonts w:ascii="細明體" w:eastAsia="細明體" w:hAnsi="細明體" w:cs="新細明體" w:hint="eastAsia"/>
          <w:color w:val="333333"/>
          <w:kern w:val="0"/>
          <w:sz w:val="23"/>
          <w:szCs w:val="23"/>
        </w:rPr>
        <w:br/>
      </w:r>
      <w:r w:rsidRPr="00386ADC">
        <w:rPr>
          <w:rFonts w:ascii="細明體" w:eastAsia="細明體" w:hAnsi="細明體" w:cs="新細明體" w:hint="eastAsia"/>
          <w:color w:val="333333"/>
          <w:kern w:val="0"/>
          <w:sz w:val="23"/>
          <w:szCs w:val="23"/>
        </w:rPr>
        <w:lastRenderedPageBreak/>
        <w:t xml:space="preserve">      校、矯正學校及附屬機構辦理工務、建築管理、城鄉計畫、政風、</w:t>
      </w:r>
      <w:r w:rsidRPr="00386ADC">
        <w:rPr>
          <w:rFonts w:ascii="細明體" w:eastAsia="細明體" w:hAnsi="細明體" w:cs="新細明體" w:hint="eastAsia"/>
          <w:color w:val="333333"/>
          <w:kern w:val="0"/>
          <w:sz w:val="23"/>
          <w:szCs w:val="23"/>
        </w:rPr>
        <w:br/>
        <w:t xml:space="preserve">      會計、審計、採購業務之主管人員。</w:t>
      </w:r>
      <w:r w:rsidRPr="00386ADC">
        <w:rPr>
          <w:rFonts w:ascii="細明體" w:eastAsia="細明體" w:hAnsi="細明體" w:cs="新細明體" w:hint="eastAsia"/>
          <w:color w:val="333333"/>
          <w:kern w:val="0"/>
          <w:sz w:val="23"/>
          <w:szCs w:val="23"/>
        </w:rPr>
        <w:br/>
        <w:t>十二、其他職務性質特殊，經行政院會同主管府、院核定適用本法之人員</w:t>
      </w:r>
      <w:r w:rsidRPr="00386ADC">
        <w:rPr>
          <w:rFonts w:ascii="細明體" w:eastAsia="細明體" w:hAnsi="細明體" w:cs="新細明體" w:hint="eastAsia"/>
          <w:color w:val="333333"/>
          <w:kern w:val="0"/>
          <w:sz w:val="23"/>
          <w:szCs w:val="23"/>
        </w:rPr>
        <w:br/>
        <w:t xml:space="preserve">      。</w:t>
      </w:r>
      <w:r w:rsidRPr="00386ADC">
        <w:rPr>
          <w:rFonts w:ascii="細明體" w:eastAsia="細明體" w:hAnsi="細明體" w:cs="新細明體" w:hint="eastAsia"/>
          <w:color w:val="333333"/>
          <w:kern w:val="0"/>
          <w:sz w:val="23"/>
          <w:szCs w:val="23"/>
        </w:rPr>
        <w:br/>
        <w:t>依法代理執行前項公職人員職務之人員，於執行該職務期間亦屬本法之公</w:t>
      </w:r>
      <w:r w:rsidRPr="00386ADC">
        <w:rPr>
          <w:rFonts w:ascii="細明體" w:eastAsia="細明體" w:hAnsi="細明體" w:cs="新細明體" w:hint="eastAsia"/>
          <w:color w:val="333333"/>
          <w:kern w:val="0"/>
          <w:sz w:val="23"/>
          <w:szCs w:val="23"/>
        </w:rPr>
        <w:br/>
        <w:t>職人員。</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3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本法所定公職人員之關係人，其範圍如下：</w:t>
      </w:r>
      <w:r w:rsidRPr="00386ADC">
        <w:rPr>
          <w:rFonts w:ascii="細明體" w:eastAsia="細明體" w:hAnsi="細明體" w:cs="新細明體" w:hint="eastAsia"/>
          <w:color w:val="333333"/>
          <w:kern w:val="0"/>
          <w:sz w:val="23"/>
          <w:szCs w:val="23"/>
        </w:rPr>
        <w:br/>
        <w:t>一、公職人員之配偶或共同生活之家屬。</w:t>
      </w:r>
      <w:r w:rsidRPr="00386ADC">
        <w:rPr>
          <w:rFonts w:ascii="細明體" w:eastAsia="細明體" w:hAnsi="細明體" w:cs="新細明體" w:hint="eastAsia"/>
          <w:color w:val="333333"/>
          <w:kern w:val="0"/>
          <w:sz w:val="23"/>
          <w:szCs w:val="23"/>
        </w:rPr>
        <w:br/>
        <w:t>二、公職人員之二親等以內親屬。</w:t>
      </w:r>
      <w:r w:rsidRPr="00386ADC">
        <w:rPr>
          <w:rFonts w:ascii="細明體" w:eastAsia="細明體" w:hAnsi="細明體" w:cs="新細明體" w:hint="eastAsia"/>
          <w:color w:val="333333"/>
          <w:kern w:val="0"/>
          <w:sz w:val="23"/>
          <w:szCs w:val="23"/>
        </w:rPr>
        <w:br/>
        <w:t>三、公職人員或其配偶信託財產之受託人。但依法辦理強制信託時，不在</w:t>
      </w:r>
      <w:r w:rsidRPr="00386ADC">
        <w:rPr>
          <w:rFonts w:ascii="細明體" w:eastAsia="細明體" w:hAnsi="細明體" w:cs="新細明體" w:hint="eastAsia"/>
          <w:color w:val="333333"/>
          <w:kern w:val="0"/>
          <w:sz w:val="23"/>
          <w:szCs w:val="23"/>
        </w:rPr>
        <w:br/>
        <w:t xml:space="preserve">    此限。</w:t>
      </w:r>
      <w:r w:rsidRPr="00386ADC">
        <w:rPr>
          <w:rFonts w:ascii="細明體" w:eastAsia="細明體" w:hAnsi="細明體" w:cs="新細明體" w:hint="eastAsia"/>
          <w:color w:val="333333"/>
          <w:kern w:val="0"/>
          <w:sz w:val="23"/>
          <w:szCs w:val="23"/>
        </w:rPr>
        <w:br/>
        <w:t>四、公職人員、第一款與第二款所列人員擔任負責人、董事、獨立董事、</w:t>
      </w:r>
      <w:r w:rsidRPr="00386ADC">
        <w:rPr>
          <w:rFonts w:ascii="細明體" w:eastAsia="細明體" w:hAnsi="細明體" w:cs="新細明體" w:hint="eastAsia"/>
          <w:color w:val="333333"/>
          <w:kern w:val="0"/>
          <w:sz w:val="23"/>
          <w:szCs w:val="23"/>
        </w:rPr>
        <w:br/>
        <w:t xml:space="preserve">    監察人、經理人或相類似職務之營利事業、非營利之法人及非法人團</w:t>
      </w:r>
      <w:r w:rsidRPr="00386ADC">
        <w:rPr>
          <w:rFonts w:ascii="細明體" w:eastAsia="細明體" w:hAnsi="細明體" w:cs="新細明體" w:hint="eastAsia"/>
          <w:color w:val="333333"/>
          <w:kern w:val="0"/>
          <w:sz w:val="23"/>
          <w:szCs w:val="23"/>
        </w:rPr>
        <w:br/>
        <w:t xml:space="preserve">    體。但屬政府或公股指派、</w:t>
      </w:r>
      <w:proofErr w:type="gramStart"/>
      <w:r w:rsidRPr="00386ADC">
        <w:rPr>
          <w:rFonts w:ascii="細明體" w:eastAsia="細明體" w:hAnsi="細明體" w:cs="新細明體" w:hint="eastAsia"/>
          <w:color w:val="333333"/>
          <w:kern w:val="0"/>
          <w:sz w:val="23"/>
          <w:szCs w:val="23"/>
        </w:rPr>
        <w:t>遴</w:t>
      </w:r>
      <w:proofErr w:type="gramEnd"/>
      <w:r w:rsidRPr="00386ADC">
        <w:rPr>
          <w:rFonts w:ascii="細明體" w:eastAsia="細明體" w:hAnsi="細明體" w:cs="新細明體" w:hint="eastAsia"/>
          <w:color w:val="333333"/>
          <w:kern w:val="0"/>
          <w:sz w:val="23"/>
          <w:szCs w:val="23"/>
        </w:rPr>
        <w:t>聘代表或由政府聘任者，不包括之。</w:t>
      </w:r>
      <w:r w:rsidRPr="00386ADC">
        <w:rPr>
          <w:rFonts w:ascii="細明體" w:eastAsia="細明體" w:hAnsi="細明體" w:cs="新細明體" w:hint="eastAsia"/>
          <w:color w:val="333333"/>
          <w:kern w:val="0"/>
          <w:sz w:val="23"/>
          <w:szCs w:val="23"/>
        </w:rPr>
        <w:br/>
        <w:t>五、經公職人員進用之機要人員。</w:t>
      </w:r>
      <w:r w:rsidRPr="00386ADC">
        <w:rPr>
          <w:rFonts w:ascii="細明體" w:eastAsia="細明體" w:hAnsi="細明體" w:cs="新細明體" w:hint="eastAsia"/>
          <w:color w:val="333333"/>
          <w:kern w:val="0"/>
          <w:sz w:val="23"/>
          <w:szCs w:val="23"/>
        </w:rPr>
        <w:br/>
        <w:t>六、各級民意代表之助理。</w:t>
      </w:r>
      <w:r w:rsidRPr="00386ADC">
        <w:rPr>
          <w:rFonts w:ascii="細明體" w:eastAsia="細明體" w:hAnsi="細明體" w:cs="新細明體" w:hint="eastAsia"/>
          <w:color w:val="333333"/>
          <w:kern w:val="0"/>
          <w:sz w:val="23"/>
          <w:szCs w:val="23"/>
        </w:rPr>
        <w:br/>
        <w:t>前項第六款所稱之助理指各級民意代表之公費助理、其加入助理工會之助</w:t>
      </w:r>
      <w:r w:rsidRPr="00386ADC">
        <w:rPr>
          <w:rFonts w:ascii="細明體" w:eastAsia="細明體" w:hAnsi="細明體" w:cs="新細明體" w:hint="eastAsia"/>
          <w:color w:val="333333"/>
          <w:kern w:val="0"/>
          <w:sz w:val="23"/>
          <w:szCs w:val="23"/>
        </w:rPr>
        <w:br/>
        <w:t>理及其他受其指揮監督之助理。</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4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本法所稱利益，包括財產上利益及非財產上利益。</w:t>
      </w:r>
      <w:r w:rsidRPr="00386ADC">
        <w:rPr>
          <w:rFonts w:ascii="細明體" w:eastAsia="細明體" w:hAnsi="細明體" w:cs="新細明體" w:hint="eastAsia"/>
          <w:color w:val="333333"/>
          <w:kern w:val="0"/>
          <w:sz w:val="23"/>
          <w:szCs w:val="23"/>
        </w:rPr>
        <w:br/>
        <w:t>財產上利益如下：</w:t>
      </w:r>
      <w:r w:rsidRPr="00386ADC">
        <w:rPr>
          <w:rFonts w:ascii="細明體" w:eastAsia="細明體" w:hAnsi="細明體" w:cs="新細明體" w:hint="eastAsia"/>
          <w:color w:val="333333"/>
          <w:kern w:val="0"/>
          <w:sz w:val="23"/>
          <w:szCs w:val="23"/>
        </w:rPr>
        <w:br/>
        <w:t>一、動產、不動產。</w:t>
      </w:r>
      <w:r w:rsidRPr="00386ADC">
        <w:rPr>
          <w:rFonts w:ascii="細明體" w:eastAsia="細明體" w:hAnsi="細明體" w:cs="新細明體" w:hint="eastAsia"/>
          <w:color w:val="333333"/>
          <w:kern w:val="0"/>
          <w:sz w:val="23"/>
          <w:szCs w:val="23"/>
        </w:rPr>
        <w:br/>
        <w:t>二、現金、存款、外幣、有價證券。</w:t>
      </w:r>
      <w:r w:rsidRPr="00386ADC">
        <w:rPr>
          <w:rFonts w:ascii="細明體" w:eastAsia="細明體" w:hAnsi="細明體" w:cs="新細明體" w:hint="eastAsia"/>
          <w:color w:val="333333"/>
          <w:kern w:val="0"/>
          <w:sz w:val="23"/>
          <w:szCs w:val="23"/>
        </w:rPr>
        <w:br/>
        <w:t>三、債權或其他財產上權利。</w:t>
      </w:r>
      <w:r w:rsidRPr="00386ADC">
        <w:rPr>
          <w:rFonts w:ascii="細明體" w:eastAsia="細明體" w:hAnsi="細明體" w:cs="新細明體" w:hint="eastAsia"/>
          <w:color w:val="333333"/>
          <w:kern w:val="0"/>
          <w:sz w:val="23"/>
          <w:szCs w:val="23"/>
        </w:rPr>
        <w:br/>
        <w:t>四、其他具有經濟價值或得以金錢交易取得之利益。</w:t>
      </w:r>
      <w:r w:rsidRPr="00386ADC">
        <w:rPr>
          <w:rFonts w:ascii="細明體" w:eastAsia="細明體" w:hAnsi="細明體" w:cs="新細明體" w:hint="eastAsia"/>
          <w:color w:val="333333"/>
          <w:kern w:val="0"/>
          <w:sz w:val="23"/>
          <w:szCs w:val="23"/>
        </w:rPr>
        <w:br/>
        <w:t>非財產上利益，指有利公職人員或其關係人在第二條第一項所列之機關（</w:t>
      </w:r>
      <w:r w:rsidRPr="00386ADC">
        <w:rPr>
          <w:rFonts w:ascii="細明體" w:eastAsia="細明體" w:hAnsi="細明體" w:cs="新細明體" w:hint="eastAsia"/>
          <w:color w:val="333333"/>
          <w:kern w:val="0"/>
          <w:sz w:val="23"/>
          <w:szCs w:val="23"/>
        </w:rPr>
        <w:br/>
        <w:t>構）團體、學校、法人、事業機構、部隊（以下簡稱機關團體）之任用、</w:t>
      </w:r>
      <w:r w:rsidRPr="00386ADC">
        <w:rPr>
          <w:rFonts w:ascii="細明體" w:eastAsia="細明體" w:hAnsi="細明體" w:cs="新細明體" w:hint="eastAsia"/>
          <w:color w:val="333333"/>
          <w:kern w:val="0"/>
          <w:sz w:val="23"/>
          <w:szCs w:val="23"/>
        </w:rPr>
        <w:br/>
        <w:t>聘任、聘用、約</w:t>
      </w:r>
      <w:proofErr w:type="gramStart"/>
      <w:r w:rsidRPr="00386ADC">
        <w:rPr>
          <w:rFonts w:ascii="細明體" w:eastAsia="細明體" w:hAnsi="細明體" w:cs="新細明體" w:hint="eastAsia"/>
          <w:color w:val="333333"/>
          <w:kern w:val="0"/>
          <w:sz w:val="23"/>
          <w:szCs w:val="23"/>
        </w:rPr>
        <w:t>僱</w:t>
      </w:r>
      <w:proofErr w:type="gramEnd"/>
      <w:r w:rsidRPr="00386ADC">
        <w:rPr>
          <w:rFonts w:ascii="細明體" w:eastAsia="細明體" w:hAnsi="細明體" w:cs="新細明體" w:hint="eastAsia"/>
          <w:color w:val="333333"/>
          <w:kern w:val="0"/>
          <w:sz w:val="23"/>
          <w:szCs w:val="23"/>
        </w:rPr>
        <w:t>、臨時人員之進用、勞動派遣、</w:t>
      </w:r>
      <w:proofErr w:type="gramStart"/>
      <w:r w:rsidRPr="00386ADC">
        <w:rPr>
          <w:rFonts w:ascii="細明體" w:eastAsia="細明體" w:hAnsi="細明體" w:cs="新細明體" w:hint="eastAsia"/>
          <w:color w:val="333333"/>
          <w:kern w:val="0"/>
          <w:sz w:val="23"/>
          <w:szCs w:val="23"/>
        </w:rPr>
        <w:t>陞</w:t>
      </w:r>
      <w:proofErr w:type="gramEnd"/>
      <w:r w:rsidRPr="00386ADC">
        <w:rPr>
          <w:rFonts w:ascii="細明體" w:eastAsia="細明體" w:hAnsi="細明體" w:cs="新細明體" w:hint="eastAsia"/>
          <w:color w:val="333333"/>
          <w:kern w:val="0"/>
          <w:sz w:val="23"/>
          <w:szCs w:val="23"/>
        </w:rPr>
        <w:t>遷、調動、考績及其</w:t>
      </w:r>
      <w:r w:rsidRPr="00386ADC">
        <w:rPr>
          <w:rFonts w:ascii="細明體" w:eastAsia="細明體" w:hAnsi="細明體" w:cs="新細明體" w:hint="eastAsia"/>
          <w:color w:val="333333"/>
          <w:kern w:val="0"/>
          <w:sz w:val="23"/>
          <w:szCs w:val="23"/>
        </w:rPr>
        <w:br/>
        <w:t>他相類似之人事措施。</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5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本法所稱利益衝突，指公職人員執行職務時，得因其作為或不作為，直接</w:t>
      </w:r>
      <w:r w:rsidRPr="00386ADC">
        <w:rPr>
          <w:rFonts w:ascii="細明體" w:eastAsia="細明體" w:hAnsi="細明體" w:cs="新細明體" w:hint="eastAsia"/>
          <w:color w:val="333333"/>
          <w:kern w:val="0"/>
          <w:sz w:val="23"/>
          <w:szCs w:val="23"/>
        </w:rPr>
        <w:br/>
        <w:t>或間接使本人或其關係人獲取利益者。</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6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lastRenderedPageBreak/>
        <w:t>公職人員知有利益衝突之情事者，應即自行迴避。</w:t>
      </w:r>
      <w:r w:rsidRPr="00386ADC">
        <w:rPr>
          <w:rFonts w:ascii="細明體" w:eastAsia="細明體" w:hAnsi="細明體" w:cs="新細明體" w:hint="eastAsia"/>
          <w:color w:val="333333"/>
          <w:kern w:val="0"/>
          <w:sz w:val="23"/>
          <w:szCs w:val="23"/>
        </w:rPr>
        <w:br/>
        <w:t>前項情形，公職人員應以書面依下列規定辦理：</w:t>
      </w:r>
      <w:r w:rsidRPr="00386ADC">
        <w:rPr>
          <w:rFonts w:ascii="細明體" w:eastAsia="細明體" w:hAnsi="細明體" w:cs="新細明體" w:hint="eastAsia"/>
          <w:color w:val="333333"/>
          <w:kern w:val="0"/>
          <w:sz w:val="23"/>
          <w:szCs w:val="23"/>
        </w:rPr>
        <w:br/>
        <w:t>一、民意代表應通知各該民意機關。</w:t>
      </w:r>
      <w:r w:rsidRPr="00386ADC">
        <w:rPr>
          <w:rFonts w:ascii="細明體" w:eastAsia="細明體" w:hAnsi="細明體" w:cs="新細明體" w:hint="eastAsia"/>
          <w:color w:val="333333"/>
          <w:kern w:val="0"/>
          <w:sz w:val="23"/>
          <w:szCs w:val="23"/>
        </w:rPr>
        <w:br/>
        <w:t>二、第二條第一項第六款、第七款之公職人員，應通知指派、</w:t>
      </w:r>
      <w:proofErr w:type="gramStart"/>
      <w:r w:rsidRPr="00386ADC">
        <w:rPr>
          <w:rFonts w:ascii="細明體" w:eastAsia="細明體" w:hAnsi="細明體" w:cs="新細明體" w:hint="eastAsia"/>
          <w:color w:val="333333"/>
          <w:kern w:val="0"/>
          <w:sz w:val="23"/>
          <w:szCs w:val="23"/>
        </w:rPr>
        <w:t>遴</w:t>
      </w:r>
      <w:proofErr w:type="gramEnd"/>
      <w:r w:rsidRPr="00386ADC">
        <w:rPr>
          <w:rFonts w:ascii="細明體" w:eastAsia="細明體" w:hAnsi="細明體" w:cs="新細明體" w:hint="eastAsia"/>
          <w:color w:val="333333"/>
          <w:kern w:val="0"/>
          <w:sz w:val="23"/>
          <w:szCs w:val="23"/>
        </w:rPr>
        <w:t>聘或聘任</w:t>
      </w:r>
      <w:r w:rsidRPr="00386ADC">
        <w:rPr>
          <w:rFonts w:ascii="細明體" w:eastAsia="細明體" w:hAnsi="細明體" w:cs="新細明體" w:hint="eastAsia"/>
          <w:color w:val="333333"/>
          <w:kern w:val="0"/>
          <w:sz w:val="23"/>
          <w:szCs w:val="23"/>
        </w:rPr>
        <w:br/>
        <w:t xml:space="preserve">    機關。</w:t>
      </w:r>
      <w:r w:rsidRPr="00386ADC">
        <w:rPr>
          <w:rFonts w:ascii="細明體" w:eastAsia="細明體" w:hAnsi="細明體" w:cs="新細明體" w:hint="eastAsia"/>
          <w:color w:val="333333"/>
          <w:kern w:val="0"/>
          <w:sz w:val="23"/>
          <w:szCs w:val="23"/>
        </w:rPr>
        <w:br/>
        <w:t>三、其他公職人員，應通知其服務之機關團體。</w:t>
      </w:r>
      <w:r w:rsidRPr="00386ADC">
        <w:rPr>
          <w:rFonts w:ascii="細明體" w:eastAsia="細明體" w:hAnsi="細明體" w:cs="新細明體" w:hint="eastAsia"/>
          <w:color w:val="333333"/>
          <w:kern w:val="0"/>
          <w:sz w:val="23"/>
          <w:szCs w:val="23"/>
        </w:rPr>
        <w:br/>
        <w:t>前項之公職人員為首長者，應通知其服務機關團體及上級機關團體；無</w:t>
      </w:r>
      <w:proofErr w:type="gramStart"/>
      <w:r w:rsidRPr="00386ADC">
        <w:rPr>
          <w:rFonts w:ascii="細明體" w:eastAsia="細明體" w:hAnsi="細明體" w:cs="新細明體" w:hint="eastAsia"/>
          <w:color w:val="333333"/>
          <w:kern w:val="0"/>
          <w:sz w:val="23"/>
          <w:szCs w:val="23"/>
        </w:rPr>
        <w:t>上</w:t>
      </w:r>
      <w:proofErr w:type="gramEnd"/>
      <w:r w:rsidRPr="00386ADC">
        <w:rPr>
          <w:rFonts w:ascii="細明體" w:eastAsia="細明體" w:hAnsi="細明體" w:cs="新細明體" w:hint="eastAsia"/>
          <w:color w:val="333333"/>
          <w:kern w:val="0"/>
          <w:sz w:val="23"/>
          <w:szCs w:val="23"/>
        </w:rPr>
        <w:br/>
        <w:t>級機關者，通知其服務之機關團體。</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7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利害關係人認公職人員有應自行迴避之情事而</w:t>
      </w:r>
      <w:proofErr w:type="gramStart"/>
      <w:r w:rsidRPr="00386ADC">
        <w:rPr>
          <w:rFonts w:ascii="細明體" w:eastAsia="細明體" w:hAnsi="細明體" w:cs="新細明體" w:hint="eastAsia"/>
          <w:color w:val="333333"/>
          <w:kern w:val="0"/>
          <w:sz w:val="23"/>
          <w:szCs w:val="23"/>
        </w:rPr>
        <w:t>不</w:t>
      </w:r>
      <w:proofErr w:type="gramEnd"/>
      <w:r w:rsidRPr="00386ADC">
        <w:rPr>
          <w:rFonts w:ascii="細明體" w:eastAsia="細明體" w:hAnsi="細明體" w:cs="新細明體" w:hint="eastAsia"/>
          <w:color w:val="333333"/>
          <w:kern w:val="0"/>
          <w:sz w:val="23"/>
          <w:szCs w:val="23"/>
        </w:rPr>
        <w:t>迴避者，得向前條第二項</w:t>
      </w:r>
      <w:r w:rsidRPr="00386ADC">
        <w:rPr>
          <w:rFonts w:ascii="細明體" w:eastAsia="細明體" w:hAnsi="細明體" w:cs="新細明體" w:hint="eastAsia"/>
          <w:color w:val="333333"/>
          <w:kern w:val="0"/>
          <w:sz w:val="23"/>
          <w:szCs w:val="23"/>
        </w:rPr>
        <w:br/>
        <w:t>或第三項之機關團體申請迴避。</w:t>
      </w:r>
      <w:r w:rsidRPr="00386ADC">
        <w:rPr>
          <w:rFonts w:ascii="細明體" w:eastAsia="細明體" w:hAnsi="細明體" w:cs="新細明體" w:hint="eastAsia"/>
          <w:color w:val="333333"/>
          <w:kern w:val="0"/>
          <w:sz w:val="23"/>
          <w:szCs w:val="23"/>
        </w:rPr>
        <w:br/>
        <w:t>前項申請，前條第二項及第三項之機關團體對收受申請權限之有無，應依</w:t>
      </w:r>
      <w:r w:rsidRPr="00386ADC">
        <w:rPr>
          <w:rFonts w:ascii="細明體" w:eastAsia="細明體" w:hAnsi="細明體" w:cs="新細明體" w:hint="eastAsia"/>
          <w:color w:val="333333"/>
          <w:kern w:val="0"/>
          <w:sz w:val="23"/>
          <w:szCs w:val="23"/>
        </w:rPr>
        <w:br/>
        <w:t>職權調查；其認無收受申請權限者，應即移送有收受申請權限之機關團體</w:t>
      </w:r>
      <w:r w:rsidRPr="00386ADC">
        <w:rPr>
          <w:rFonts w:ascii="細明體" w:eastAsia="細明體" w:hAnsi="細明體" w:cs="新細明體" w:hint="eastAsia"/>
          <w:color w:val="333333"/>
          <w:kern w:val="0"/>
          <w:sz w:val="23"/>
          <w:szCs w:val="23"/>
        </w:rPr>
        <w:br/>
        <w:t>，並通知申請人。</w:t>
      </w:r>
      <w:r w:rsidRPr="00386ADC">
        <w:rPr>
          <w:rFonts w:ascii="細明體" w:eastAsia="細明體" w:hAnsi="細明體" w:cs="新細明體" w:hint="eastAsia"/>
          <w:color w:val="333333"/>
          <w:kern w:val="0"/>
          <w:sz w:val="23"/>
          <w:szCs w:val="23"/>
        </w:rPr>
        <w:br/>
        <w:t>不服機關團體之駁回決定者，得於五日內提請上級機關團體覆決，受理機</w:t>
      </w:r>
      <w:r w:rsidRPr="00386ADC">
        <w:rPr>
          <w:rFonts w:ascii="細明體" w:eastAsia="細明體" w:hAnsi="細明體" w:cs="新細明體" w:hint="eastAsia"/>
          <w:color w:val="333333"/>
          <w:kern w:val="0"/>
          <w:sz w:val="23"/>
          <w:szCs w:val="23"/>
        </w:rPr>
        <w:br/>
        <w:t>關團體除有正當理由外，應於十日內為適當之處置；無上級機關團體者，</w:t>
      </w:r>
      <w:r w:rsidRPr="00386ADC">
        <w:rPr>
          <w:rFonts w:ascii="細明體" w:eastAsia="細明體" w:hAnsi="細明體" w:cs="新細明體" w:hint="eastAsia"/>
          <w:color w:val="333333"/>
          <w:kern w:val="0"/>
          <w:sz w:val="23"/>
          <w:szCs w:val="23"/>
        </w:rPr>
        <w:br/>
        <w:t>提請前條第二項及第三項之機關團體覆決。</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8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proofErr w:type="gramStart"/>
      <w:r w:rsidRPr="00386ADC">
        <w:rPr>
          <w:rFonts w:ascii="細明體" w:eastAsia="細明體" w:hAnsi="細明體" w:cs="新細明體" w:hint="eastAsia"/>
          <w:color w:val="333333"/>
          <w:kern w:val="0"/>
          <w:sz w:val="23"/>
          <w:szCs w:val="23"/>
        </w:rPr>
        <w:t>前二條受通知</w:t>
      </w:r>
      <w:proofErr w:type="gramEnd"/>
      <w:r w:rsidRPr="00386ADC">
        <w:rPr>
          <w:rFonts w:ascii="細明體" w:eastAsia="細明體" w:hAnsi="細明體" w:cs="新細明體" w:hint="eastAsia"/>
          <w:color w:val="333333"/>
          <w:kern w:val="0"/>
          <w:sz w:val="23"/>
          <w:szCs w:val="23"/>
        </w:rPr>
        <w:t>或受理之機關團體認該公職人員無須迴避者，應令其繼續執</w:t>
      </w:r>
      <w:r w:rsidRPr="00386ADC">
        <w:rPr>
          <w:rFonts w:ascii="細明體" w:eastAsia="細明體" w:hAnsi="細明體" w:cs="新細明體" w:hint="eastAsia"/>
          <w:color w:val="333333"/>
          <w:kern w:val="0"/>
          <w:sz w:val="23"/>
          <w:szCs w:val="23"/>
        </w:rPr>
        <w:br/>
        <w:t>行職務；認該公職人員應行迴避者，應令其迴避。</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9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公職人員服務之機關團體、上級機關、指派、</w:t>
      </w:r>
      <w:proofErr w:type="gramStart"/>
      <w:r w:rsidRPr="00386ADC">
        <w:rPr>
          <w:rFonts w:ascii="細明體" w:eastAsia="細明體" w:hAnsi="細明體" w:cs="新細明體" w:hint="eastAsia"/>
          <w:color w:val="333333"/>
          <w:kern w:val="0"/>
          <w:sz w:val="23"/>
          <w:szCs w:val="23"/>
        </w:rPr>
        <w:t>遴</w:t>
      </w:r>
      <w:proofErr w:type="gramEnd"/>
      <w:r w:rsidRPr="00386ADC">
        <w:rPr>
          <w:rFonts w:ascii="細明體" w:eastAsia="細明體" w:hAnsi="細明體" w:cs="新細明體" w:hint="eastAsia"/>
          <w:color w:val="333333"/>
          <w:kern w:val="0"/>
          <w:sz w:val="23"/>
          <w:szCs w:val="23"/>
        </w:rPr>
        <w:t>聘或聘任機關知公職人員</w:t>
      </w:r>
      <w:r w:rsidRPr="00386ADC">
        <w:rPr>
          <w:rFonts w:ascii="細明體" w:eastAsia="細明體" w:hAnsi="細明體" w:cs="新細明體" w:hint="eastAsia"/>
          <w:color w:val="333333"/>
          <w:kern w:val="0"/>
          <w:sz w:val="23"/>
          <w:szCs w:val="23"/>
        </w:rPr>
        <w:br/>
        <w:t>有應自行迴避而未迴避情事者，應依職權令其迴避。</w:t>
      </w:r>
      <w:r w:rsidRPr="00386ADC">
        <w:rPr>
          <w:rFonts w:ascii="細明體" w:eastAsia="細明體" w:hAnsi="細明體" w:cs="新細明體" w:hint="eastAsia"/>
          <w:color w:val="333333"/>
          <w:kern w:val="0"/>
          <w:sz w:val="23"/>
          <w:szCs w:val="23"/>
        </w:rPr>
        <w:br/>
        <w:t>前條及前項規定之令繼續執行職務或令迴避，由機關團體首長為之；應</w:t>
      </w:r>
      <w:proofErr w:type="gramStart"/>
      <w:r w:rsidRPr="00386ADC">
        <w:rPr>
          <w:rFonts w:ascii="細明體" w:eastAsia="細明體" w:hAnsi="細明體" w:cs="新細明體" w:hint="eastAsia"/>
          <w:color w:val="333333"/>
          <w:kern w:val="0"/>
          <w:sz w:val="23"/>
          <w:szCs w:val="23"/>
        </w:rPr>
        <w:t>迴</w:t>
      </w:r>
      <w:proofErr w:type="gramEnd"/>
      <w:r w:rsidRPr="00386ADC">
        <w:rPr>
          <w:rFonts w:ascii="細明體" w:eastAsia="細明體" w:hAnsi="細明體" w:cs="新細明體" w:hint="eastAsia"/>
          <w:color w:val="333333"/>
          <w:kern w:val="0"/>
          <w:sz w:val="23"/>
          <w:szCs w:val="23"/>
        </w:rPr>
        <w:br/>
        <w:t>避之公職人員為首長而無上級機關者，由首長之職務代理人為之。但法律</w:t>
      </w:r>
      <w:r w:rsidRPr="00386ADC">
        <w:rPr>
          <w:rFonts w:ascii="細明體" w:eastAsia="細明體" w:hAnsi="細明體" w:cs="新細明體" w:hint="eastAsia"/>
          <w:color w:val="333333"/>
          <w:kern w:val="0"/>
          <w:sz w:val="23"/>
          <w:szCs w:val="23"/>
        </w:rPr>
        <w:br/>
        <w:t>另有規定者，從其規定。</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10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公職人員依前四條規定迴避者，應依下列規定辦理：</w:t>
      </w:r>
      <w:r w:rsidRPr="00386ADC">
        <w:rPr>
          <w:rFonts w:ascii="細明體" w:eastAsia="細明體" w:hAnsi="細明體" w:cs="新細明體" w:hint="eastAsia"/>
          <w:color w:val="333333"/>
          <w:kern w:val="0"/>
          <w:sz w:val="23"/>
          <w:szCs w:val="23"/>
        </w:rPr>
        <w:br/>
        <w:t>一、民意代表，不得參與個人利益相關議案之審議及表決。</w:t>
      </w:r>
      <w:r w:rsidRPr="00386ADC">
        <w:rPr>
          <w:rFonts w:ascii="細明體" w:eastAsia="細明體" w:hAnsi="細明體" w:cs="新細明體" w:hint="eastAsia"/>
          <w:color w:val="333333"/>
          <w:kern w:val="0"/>
          <w:sz w:val="23"/>
          <w:szCs w:val="23"/>
        </w:rPr>
        <w:br/>
        <w:t>二、其他公職人員應停止執行該項職務，並由該職務之代理人執行。必要</w:t>
      </w:r>
      <w:r w:rsidRPr="00386ADC">
        <w:rPr>
          <w:rFonts w:ascii="細明體" w:eastAsia="細明體" w:hAnsi="細明體" w:cs="新細明體" w:hint="eastAsia"/>
          <w:color w:val="333333"/>
          <w:kern w:val="0"/>
          <w:sz w:val="23"/>
          <w:szCs w:val="23"/>
        </w:rPr>
        <w:br/>
        <w:t xml:space="preserve">    時，由各該機關團體指定代理執行該職務之人。</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11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公職人員服務之機關團體、上級機關、指派、</w:t>
      </w:r>
      <w:proofErr w:type="gramStart"/>
      <w:r w:rsidRPr="00386ADC">
        <w:rPr>
          <w:rFonts w:ascii="細明體" w:eastAsia="細明體" w:hAnsi="細明體" w:cs="新細明體" w:hint="eastAsia"/>
          <w:color w:val="333333"/>
          <w:kern w:val="0"/>
          <w:sz w:val="23"/>
          <w:szCs w:val="23"/>
        </w:rPr>
        <w:t>遴</w:t>
      </w:r>
      <w:proofErr w:type="gramEnd"/>
      <w:r w:rsidRPr="00386ADC">
        <w:rPr>
          <w:rFonts w:ascii="細明體" w:eastAsia="細明體" w:hAnsi="細明體" w:cs="新細明體" w:hint="eastAsia"/>
          <w:color w:val="333333"/>
          <w:kern w:val="0"/>
          <w:sz w:val="23"/>
          <w:szCs w:val="23"/>
        </w:rPr>
        <w:t>聘或聘任機關應於每年度</w:t>
      </w:r>
      <w:r w:rsidRPr="00386ADC">
        <w:rPr>
          <w:rFonts w:ascii="細明體" w:eastAsia="細明體" w:hAnsi="細明體" w:cs="新細明體" w:hint="eastAsia"/>
          <w:color w:val="333333"/>
          <w:kern w:val="0"/>
          <w:sz w:val="23"/>
          <w:szCs w:val="23"/>
        </w:rPr>
        <w:br/>
        <w:t>結束後三十日內，將前一年度公職人員自行迴避、申請迴避、職權迴避情</w:t>
      </w:r>
      <w:r w:rsidRPr="00386ADC">
        <w:rPr>
          <w:rFonts w:ascii="細明體" w:eastAsia="細明體" w:hAnsi="細明體" w:cs="新細明體" w:hint="eastAsia"/>
          <w:color w:val="333333"/>
          <w:kern w:val="0"/>
          <w:sz w:val="23"/>
          <w:szCs w:val="23"/>
        </w:rPr>
        <w:br/>
      </w:r>
      <w:r w:rsidRPr="00386ADC">
        <w:rPr>
          <w:rFonts w:ascii="細明體" w:eastAsia="細明體" w:hAnsi="細明體" w:cs="新細明體" w:hint="eastAsia"/>
          <w:color w:val="333333"/>
          <w:kern w:val="0"/>
          <w:sz w:val="23"/>
          <w:szCs w:val="23"/>
        </w:rPr>
        <w:lastRenderedPageBreak/>
        <w:t>形，依第二十條所定裁罰管轄機關，彙報予監察院或法務部指定之機關（</w:t>
      </w:r>
      <w:r w:rsidRPr="00386ADC">
        <w:rPr>
          <w:rFonts w:ascii="細明體" w:eastAsia="細明體" w:hAnsi="細明體" w:cs="新細明體" w:hint="eastAsia"/>
          <w:color w:val="333333"/>
          <w:kern w:val="0"/>
          <w:sz w:val="23"/>
          <w:szCs w:val="23"/>
        </w:rPr>
        <w:br/>
        <w:t>構）或單位。</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12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公職人員不得假借職務上之權力、機會或方法，</w:t>
      </w:r>
      <w:proofErr w:type="gramStart"/>
      <w:r w:rsidRPr="00386ADC">
        <w:rPr>
          <w:rFonts w:ascii="細明體" w:eastAsia="細明體" w:hAnsi="細明體" w:cs="新細明體" w:hint="eastAsia"/>
          <w:color w:val="333333"/>
          <w:kern w:val="0"/>
          <w:sz w:val="23"/>
          <w:szCs w:val="23"/>
        </w:rPr>
        <w:t>圖其本人</w:t>
      </w:r>
      <w:proofErr w:type="gramEnd"/>
      <w:r w:rsidRPr="00386ADC">
        <w:rPr>
          <w:rFonts w:ascii="細明體" w:eastAsia="細明體" w:hAnsi="細明體" w:cs="新細明體" w:hint="eastAsia"/>
          <w:color w:val="333333"/>
          <w:kern w:val="0"/>
          <w:sz w:val="23"/>
          <w:szCs w:val="23"/>
        </w:rPr>
        <w:t>或關係人之利益</w:t>
      </w:r>
      <w:r w:rsidRPr="00386ADC">
        <w:rPr>
          <w:rFonts w:ascii="細明體" w:eastAsia="細明體" w:hAnsi="細明體" w:cs="新細明體" w:hint="eastAsia"/>
          <w:color w:val="333333"/>
          <w:kern w:val="0"/>
          <w:sz w:val="23"/>
          <w:szCs w:val="23"/>
        </w:rPr>
        <w:br/>
        <w:t>。</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13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公職人員之關係人不得向公職人員服務或受其監督之機關團體人員，以請</w:t>
      </w:r>
      <w:r w:rsidRPr="00386ADC">
        <w:rPr>
          <w:rFonts w:ascii="細明體" w:eastAsia="細明體" w:hAnsi="細明體" w:cs="新細明體" w:hint="eastAsia"/>
          <w:color w:val="333333"/>
          <w:kern w:val="0"/>
          <w:sz w:val="23"/>
          <w:szCs w:val="23"/>
        </w:rPr>
        <w:br/>
      </w:r>
      <w:proofErr w:type="gramStart"/>
      <w:r w:rsidRPr="00386ADC">
        <w:rPr>
          <w:rFonts w:ascii="細明體" w:eastAsia="細明體" w:hAnsi="細明體" w:cs="新細明體" w:hint="eastAsia"/>
          <w:color w:val="333333"/>
          <w:kern w:val="0"/>
          <w:sz w:val="23"/>
          <w:szCs w:val="23"/>
        </w:rPr>
        <w:t>託</w:t>
      </w:r>
      <w:proofErr w:type="gramEnd"/>
      <w:r w:rsidRPr="00386ADC">
        <w:rPr>
          <w:rFonts w:ascii="細明體" w:eastAsia="細明體" w:hAnsi="細明體" w:cs="新細明體" w:hint="eastAsia"/>
          <w:color w:val="333333"/>
          <w:kern w:val="0"/>
          <w:sz w:val="23"/>
          <w:szCs w:val="23"/>
        </w:rPr>
        <w:t>關說或其他不當方法，</w:t>
      </w:r>
      <w:proofErr w:type="gramStart"/>
      <w:r w:rsidRPr="00386ADC">
        <w:rPr>
          <w:rFonts w:ascii="細明體" w:eastAsia="細明體" w:hAnsi="細明體" w:cs="新細明體" w:hint="eastAsia"/>
          <w:color w:val="333333"/>
          <w:kern w:val="0"/>
          <w:sz w:val="23"/>
          <w:szCs w:val="23"/>
        </w:rPr>
        <w:t>圖其本人</w:t>
      </w:r>
      <w:proofErr w:type="gramEnd"/>
      <w:r w:rsidRPr="00386ADC">
        <w:rPr>
          <w:rFonts w:ascii="細明體" w:eastAsia="細明體" w:hAnsi="細明體" w:cs="新細明體" w:hint="eastAsia"/>
          <w:color w:val="333333"/>
          <w:kern w:val="0"/>
          <w:sz w:val="23"/>
          <w:szCs w:val="23"/>
        </w:rPr>
        <w:t>或公職人員之利益。</w:t>
      </w:r>
      <w:r w:rsidRPr="00386ADC">
        <w:rPr>
          <w:rFonts w:ascii="細明體" w:eastAsia="細明體" w:hAnsi="細明體" w:cs="新細明體" w:hint="eastAsia"/>
          <w:color w:val="333333"/>
          <w:kern w:val="0"/>
          <w:sz w:val="23"/>
          <w:szCs w:val="23"/>
        </w:rPr>
        <w:br/>
        <w:t>前項所稱請託關說，指不循法定程序，而向前項機關團體人員提出請求，</w:t>
      </w:r>
      <w:r w:rsidRPr="00386ADC">
        <w:rPr>
          <w:rFonts w:ascii="細明體" w:eastAsia="細明體" w:hAnsi="細明體" w:cs="新細明體" w:hint="eastAsia"/>
          <w:color w:val="333333"/>
          <w:kern w:val="0"/>
          <w:sz w:val="23"/>
          <w:szCs w:val="23"/>
        </w:rPr>
        <w:br/>
        <w:t>其內容涉及該機關團體業務具體事項之決定、執行或不執行，且因該事項</w:t>
      </w:r>
      <w:r w:rsidRPr="00386ADC">
        <w:rPr>
          <w:rFonts w:ascii="細明體" w:eastAsia="細明體" w:hAnsi="細明體" w:cs="新細明體" w:hint="eastAsia"/>
          <w:color w:val="333333"/>
          <w:kern w:val="0"/>
          <w:sz w:val="23"/>
          <w:szCs w:val="23"/>
        </w:rPr>
        <w:br/>
        <w:t>之決定、執行或不執行致有違法或不當而影響特定權利義務之虞者。</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14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公職人員或其關係人，不得與公職人員服務或受其監督之機關團體為補助</w:t>
      </w:r>
      <w:r w:rsidRPr="00386ADC">
        <w:rPr>
          <w:rFonts w:ascii="細明體" w:eastAsia="細明體" w:hAnsi="細明體" w:cs="新細明體" w:hint="eastAsia"/>
          <w:color w:val="333333"/>
          <w:kern w:val="0"/>
          <w:sz w:val="23"/>
          <w:szCs w:val="23"/>
        </w:rPr>
        <w:br/>
        <w:t>、買賣、租賃、承攬或其他具有對價之交易行為。但有下列情形之</w:t>
      </w:r>
      <w:proofErr w:type="gramStart"/>
      <w:r w:rsidRPr="00386ADC">
        <w:rPr>
          <w:rFonts w:ascii="細明體" w:eastAsia="細明體" w:hAnsi="細明體" w:cs="新細明體" w:hint="eastAsia"/>
          <w:color w:val="333333"/>
          <w:kern w:val="0"/>
          <w:sz w:val="23"/>
          <w:szCs w:val="23"/>
        </w:rPr>
        <w:t>一</w:t>
      </w:r>
      <w:proofErr w:type="gramEnd"/>
      <w:r w:rsidRPr="00386ADC">
        <w:rPr>
          <w:rFonts w:ascii="細明體" w:eastAsia="細明體" w:hAnsi="細明體" w:cs="新細明體" w:hint="eastAsia"/>
          <w:color w:val="333333"/>
          <w:kern w:val="0"/>
          <w:sz w:val="23"/>
          <w:szCs w:val="23"/>
        </w:rPr>
        <w:t>者，</w:t>
      </w:r>
      <w:r w:rsidRPr="00386ADC">
        <w:rPr>
          <w:rFonts w:ascii="細明體" w:eastAsia="細明體" w:hAnsi="細明體" w:cs="新細明體" w:hint="eastAsia"/>
          <w:color w:val="333333"/>
          <w:kern w:val="0"/>
          <w:sz w:val="23"/>
          <w:szCs w:val="23"/>
        </w:rPr>
        <w:br/>
        <w:t>不在此限：</w:t>
      </w:r>
      <w:r w:rsidRPr="00386ADC">
        <w:rPr>
          <w:rFonts w:ascii="細明體" w:eastAsia="細明體" w:hAnsi="細明體" w:cs="新細明體" w:hint="eastAsia"/>
          <w:color w:val="333333"/>
          <w:kern w:val="0"/>
          <w:sz w:val="23"/>
          <w:szCs w:val="23"/>
        </w:rPr>
        <w:br/>
        <w:t>一、依政府採購法以公告程序或同法第一百零五條辦理之採購。</w:t>
      </w:r>
      <w:r w:rsidRPr="00386ADC">
        <w:rPr>
          <w:rFonts w:ascii="細明體" w:eastAsia="細明體" w:hAnsi="細明體" w:cs="新細明體" w:hint="eastAsia"/>
          <w:color w:val="333333"/>
          <w:kern w:val="0"/>
          <w:sz w:val="23"/>
          <w:szCs w:val="23"/>
        </w:rPr>
        <w:br/>
        <w:t>二、依法令規定經由公平競爭方式，以公告程序辦理之採購、標售、標租</w:t>
      </w:r>
      <w:r w:rsidRPr="00386ADC">
        <w:rPr>
          <w:rFonts w:ascii="細明體" w:eastAsia="細明體" w:hAnsi="細明體" w:cs="新細明體" w:hint="eastAsia"/>
          <w:color w:val="333333"/>
          <w:kern w:val="0"/>
          <w:sz w:val="23"/>
          <w:szCs w:val="23"/>
        </w:rPr>
        <w:br/>
        <w:t xml:space="preserve">    或招標設定用益物權。</w:t>
      </w:r>
      <w:r w:rsidRPr="00386ADC">
        <w:rPr>
          <w:rFonts w:ascii="細明體" w:eastAsia="細明體" w:hAnsi="細明體" w:cs="新細明體" w:hint="eastAsia"/>
          <w:color w:val="333333"/>
          <w:kern w:val="0"/>
          <w:sz w:val="23"/>
          <w:szCs w:val="23"/>
        </w:rPr>
        <w:br/>
        <w:t>三、基於法定身分依法令規定申請之補助；或對公職人員之關係人依法令</w:t>
      </w:r>
      <w:r w:rsidRPr="00386ADC">
        <w:rPr>
          <w:rFonts w:ascii="細明體" w:eastAsia="細明體" w:hAnsi="細明體" w:cs="新細明體" w:hint="eastAsia"/>
          <w:color w:val="333333"/>
          <w:kern w:val="0"/>
          <w:sz w:val="23"/>
          <w:szCs w:val="23"/>
        </w:rPr>
        <w:br/>
        <w:t xml:space="preserve">    規定以公開公平方式辦理之補助，或禁止其補助反不利於公共利益且</w:t>
      </w:r>
      <w:r w:rsidRPr="00386ADC">
        <w:rPr>
          <w:rFonts w:ascii="細明體" w:eastAsia="細明體" w:hAnsi="細明體" w:cs="新細明體" w:hint="eastAsia"/>
          <w:color w:val="333333"/>
          <w:kern w:val="0"/>
          <w:sz w:val="23"/>
          <w:szCs w:val="23"/>
        </w:rPr>
        <w:br/>
        <w:t xml:space="preserve">    經補助法令主管機關核定同意之補助。</w:t>
      </w:r>
      <w:r w:rsidRPr="00386ADC">
        <w:rPr>
          <w:rFonts w:ascii="細明體" w:eastAsia="細明體" w:hAnsi="細明體" w:cs="新細明體" w:hint="eastAsia"/>
          <w:color w:val="333333"/>
          <w:kern w:val="0"/>
          <w:sz w:val="23"/>
          <w:szCs w:val="23"/>
        </w:rPr>
        <w:br/>
        <w:t>四、交易標的為公職人員服務或受其監督之機關團體所提供，並以公定價</w:t>
      </w:r>
      <w:r w:rsidRPr="00386ADC">
        <w:rPr>
          <w:rFonts w:ascii="細明體" w:eastAsia="細明體" w:hAnsi="細明體" w:cs="新細明體" w:hint="eastAsia"/>
          <w:color w:val="333333"/>
          <w:kern w:val="0"/>
          <w:sz w:val="23"/>
          <w:szCs w:val="23"/>
        </w:rPr>
        <w:br/>
        <w:t xml:space="preserve">    格交易。</w:t>
      </w:r>
      <w:r w:rsidRPr="00386ADC">
        <w:rPr>
          <w:rFonts w:ascii="細明體" w:eastAsia="細明體" w:hAnsi="細明體" w:cs="新細明體" w:hint="eastAsia"/>
          <w:color w:val="333333"/>
          <w:kern w:val="0"/>
          <w:sz w:val="23"/>
          <w:szCs w:val="23"/>
        </w:rPr>
        <w:br/>
        <w:t>五、公營事業機構執行國家建設、公共政策或為公益用途申請承租、承購</w:t>
      </w:r>
      <w:r w:rsidRPr="00386ADC">
        <w:rPr>
          <w:rFonts w:ascii="細明體" w:eastAsia="細明體" w:hAnsi="細明體" w:cs="新細明體" w:hint="eastAsia"/>
          <w:color w:val="333333"/>
          <w:kern w:val="0"/>
          <w:sz w:val="23"/>
          <w:szCs w:val="23"/>
        </w:rPr>
        <w:br/>
        <w:t xml:space="preserve">    、委託經營、改良利用國有非公用不動產。</w:t>
      </w:r>
      <w:r w:rsidRPr="00386ADC">
        <w:rPr>
          <w:rFonts w:ascii="細明體" w:eastAsia="細明體" w:hAnsi="細明體" w:cs="新細明體" w:hint="eastAsia"/>
          <w:color w:val="333333"/>
          <w:kern w:val="0"/>
          <w:sz w:val="23"/>
          <w:szCs w:val="23"/>
        </w:rPr>
        <w:br/>
        <w:t>六、一定金額以下之補助及交易。</w:t>
      </w:r>
      <w:r w:rsidRPr="00386ADC">
        <w:rPr>
          <w:rFonts w:ascii="細明體" w:eastAsia="細明體" w:hAnsi="細明體" w:cs="新細明體" w:hint="eastAsia"/>
          <w:color w:val="333333"/>
          <w:kern w:val="0"/>
          <w:sz w:val="23"/>
          <w:szCs w:val="23"/>
        </w:rPr>
        <w:br/>
        <w:t>公職人員或其關係人與公職人員服務之機關團體或受其監督之機關團體為</w:t>
      </w:r>
      <w:r w:rsidRPr="00386ADC">
        <w:rPr>
          <w:rFonts w:ascii="細明體" w:eastAsia="細明體" w:hAnsi="細明體" w:cs="新細明體" w:hint="eastAsia"/>
          <w:color w:val="333333"/>
          <w:kern w:val="0"/>
          <w:sz w:val="23"/>
          <w:szCs w:val="23"/>
        </w:rPr>
        <w:br/>
        <w:t>前項但書第一款至第三款補助或交易行為前，應主動於申請或投標文件內</w:t>
      </w:r>
      <w:r w:rsidRPr="00386ADC">
        <w:rPr>
          <w:rFonts w:ascii="細明體" w:eastAsia="細明體" w:hAnsi="細明體" w:cs="新細明體" w:hint="eastAsia"/>
          <w:color w:val="333333"/>
          <w:kern w:val="0"/>
          <w:sz w:val="23"/>
          <w:szCs w:val="23"/>
        </w:rPr>
        <w:br/>
        <w:t>據實表明其身分關係；於補助或交易行為成立後，該機關團體應連同其身</w:t>
      </w:r>
      <w:r w:rsidRPr="00386ADC">
        <w:rPr>
          <w:rFonts w:ascii="細明體" w:eastAsia="細明體" w:hAnsi="細明體" w:cs="新細明體" w:hint="eastAsia"/>
          <w:color w:val="333333"/>
          <w:kern w:val="0"/>
          <w:sz w:val="23"/>
          <w:szCs w:val="23"/>
        </w:rPr>
        <w:br/>
        <w:t>分關係主動公開之。但屬前項但書第三款基於法定身分依法令規定申請之</w:t>
      </w:r>
      <w:r w:rsidRPr="00386ADC">
        <w:rPr>
          <w:rFonts w:ascii="細明體" w:eastAsia="細明體" w:hAnsi="細明體" w:cs="新細明體" w:hint="eastAsia"/>
          <w:color w:val="333333"/>
          <w:kern w:val="0"/>
          <w:sz w:val="23"/>
          <w:szCs w:val="23"/>
        </w:rPr>
        <w:br/>
        <w:t>補助者，不在此限。</w:t>
      </w:r>
      <w:r w:rsidRPr="00386ADC">
        <w:rPr>
          <w:rFonts w:ascii="細明體" w:eastAsia="細明體" w:hAnsi="細明體" w:cs="新細明體" w:hint="eastAsia"/>
          <w:color w:val="333333"/>
          <w:kern w:val="0"/>
          <w:sz w:val="23"/>
          <w:szCs w:val="23"/>
        </w:rPr>
        <w:br/>
        <w:t>前項公開應利用電信網路或其他方式供公眾線上查詢。</w:t>
      </w:r>
      <w:r w:rsidRPr="00386ADC">
        <w:rPr>
          <w:rFonts w:ascii="細明體" w:eastAsia="細明體" w:hAnsi="細明體" w:cs="新細明體" w:hint="eastAsia"/>
          <w:color w:val="333333"/>
          <w:kern w:val="0"/>
          <w:sz w:val="23"/>
          <w:szCs w:val="23"/>
        </w:rPr>
        <w:br/>
        <w:t>第一項但書第六款之一定金額，由行政院會同監察院定之。</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15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lastRenderedPageBreak/>
        <w:t>監察院、法務部及公職人員之服務或上級機關（構）之政風機構，為調查</w:t>
      </w:r>
      <w:r w:rsidRPr="00386ADC">
        <w:rPr>
          <w:rFonts w:ascii="細明體" w:eastAsia="細明體" w:hAnsi="細明體" w:cs="新細明體" w:hint="eastAsia"/>
          <w:color w:val="333333"/>
          <w:kern w:val="0"/>
          <w:sz w:val="23"/>
          <w:szCs w:val="23"/>
        </w:rPr>
        <w:br/>
        <w:t>公職人員及其關係人違反本法情事，得向有關之機關（構）、法人、團體</w:t>
      </w:r>
      <w:r w:rsidRPr="00386ADC">
        <w:rPr>
          <w:rFonts w:ascii="細明體" w:eastAsia="細明體" w:hAnsi="細明體" w:cs="新細明體" w:hint="eastAsia"/>
          <w:color w:val="333333"/>
          <w:kern w:val="0"/>
          <w:sz w:val="23"/>
          <w:szCs w:val="23"/>
        </w:rPr>
        <w:br/>
        <w:t>或個人查詢，受查詢者有據實說明或提供必要資料之義務。</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16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違反第六條第一項規定者，處新臺幣十萬元以上二百萬元以下罰鍰。</w:t>
      </w:r>
      <w:r w:rsidRPr="00386ADC">
        <w:rPr>
          <w:rFonts w:ascii="細明體" w:eastAsia="細明體" w:hAnsi="細明體" w:cs="新細明體" w:hint="eastAsia"/>
          <w:color w:val="333333"/>
          <w:kern w:val="0"/>
          <w:sz w:val="23"/>
          <w:szCs w:val="23"/>
        </w:rPr>
        <w:br/>
        <w:t>經依第八條或第九條令其迴避而</w:t>
      </w:r>
      <w:proofErr w:type="gramStart"/>
      <w:r w:rsidRPr="00386ADC">
        <w:rPr>
          <w:rFonts w:ascii="細明體" w:eastAsia="細明體" w:hAnsi="細明體" w:cs="新細明體" w:hint="eastAsia"/>
          <w:color w:val="333333"/>
          <w:kern w:val="0"/>
          <w:sz w:val="23"/>
          <w:szCs w:val="23"/>
        </w:rPr>
        <w:t>不</w:t>
      </w:r>
      <w:proofErr w:type="gramEnd"/>
      <w:r w:rsidRPr="00386ADC">
        <w:rPr>
          <w:rFonts w:ascii="細明體" w:eastAsia="細明體" w:hAnsi="細明體" w:cs="新細明體" w:hint="eastAsia"/>
          <w:color w:val="333333"/>
          <w:kern w:val="0"/>
          <w:sz w:val="23"/>
          <w:szCs w:val="23"/>
        </w:rPr>
        <w:t>迴避者，處新臺幣十五萬元以上三百萬</w:t>
      </w:r>
      <w:r w:rsidRPr="00386ADC">
        <w:rPr>
          <w:rFonts w:ascii="細明體" w:eastAsia="細明體" w:hAnsi="細明體" w:cs="新細明體" w:hint="eastAsia"/>
          <w:color w:val="333333"/>
          <w:kern w:val="0"/>
          <w:sz w:val="23"/>
          <w:szCs w:val="23"/>
        </w:rPr>
        <w:br/>
        <w:t>元以下罰鍰，並得按次處罰。</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17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違反第十二條或第十三條第一項規定者，處新臺幣三十萬元以上六百萬元</w:t>
      </w:r>
      <w:r w:rsidRPr="00386ADC">
        <w:rPr>
          <w:rFonts w:ascii="細明體" w:eastAsia="細明體" w:hAnsi="細明體" w:cs="新細明體" w:hint="eastAsia"/>
          <w:color w:val="333333"/>
          <w:kern w:val="0"/>
          <w:sz w:val="23"/>
          <w:szCs w:val="23"/>
        </w:rPr>
        <w:br/>
        <w:t>以下罰鍰。</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18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違反第十四條第一項規定者，依下列規定處罰：</w:t>
      </w:r>
      <w:r w:rsidRPr="00386ADC">
        <w:rPr>
          <w:rFonts w:ascii="細明體" w:eastAsia="細明體" w:hAnsi="細明體" w:cs="新細明體" w:hint="eastAsia"/>
          <w:color w:val="333333"/>
          <w:kern w:val="0"/>
          <w:sz w:val="23"/>
          <w:szCs w:val="23"/>
        </w:rPr>
        <w:br/>
        <w:t>一、交易或補助金額未達新臺幣十萬元者，處新臺幣一萬元以上五萬元以</w:t>
      </w:r>
      <w:r w:rsidRPr="00386ADC">
        <w:rPr>
          <w:rFonts w:ascii="細明體" w:eastAsia="細明體" w:hAnsi="細明體" w:cs="新細明體" w:hint="eastAsia"/>
          <w:color w:val="333333"/>
          <w:kern w:val="0"/>
          <w:sz w:val="23"/>
          <w:szCs w:val="23"/>
        </w:rPr>
        <w:br/>
        <w:t xml:space="preserve">    下罰鍰。</w:t>
      </w:r>
      <w:r w:rsidRPr="00386ADC">
        <w:rPr>
          <w:rFonts w:ascii="細明體" w:eastAsia="細明體" w:hAnsi="細明體" w:cs="新細明體" w:hint="eastAsia"/>
          <w:color w:val="333333"/>
          <w:kern w:val="0"/>
          <w:sz w:val="23"/>
          <w:szCs w:val="23"/>
        </w:rPr>
        <w:br/>
        <w:t>二、交易或補助金額新臺幣十萬元以上未達</w:t>
      </w:r>
      <w:proofErr w:type="gramStart"/>
      <w:r w:rsidRPr="00386ADC">
        <w:rPr>
          <w:rFonts w:ascii="細明體" w:eastAsia="細明體" w:hAnsi="細明體" w:cs="新細明體" w:hint="eastAsia"/>
          <w:color w:val="333333"/>
          <w:kern w:val="0"/>
          <w:sz w:val="23"/>
          <w:szCs w:val="23"/>
        </w:rPr>
        <w:t>一</w:t>
      </w:r>
      <w:proofErr w:type="gramEnd"/>
      <w:r w:rsidRPr="00386ADC">
        <w:rPr>
          <w:rFonts w:ascii="細明體" w:eastAsia="細明體" w:hAnsi="細明體" w:cs="新細明體" w:hint="eastAsia"/>
          <w:color w:val="333333"/>
          <w:kern w:val="0"/>
          <w:sz w:val="23"/>
          <w:szCs w:val="23"/>
        </w:rPr>
        <w:t>百萬元者，處新臺幣六萬元</w:t>
      </w:r>
      <w:r w:rsidRPr="00386ADC">
        <w:rPr>
          <w:rFonts w:ascii="細明體" w:eastAsia="細明體" w:hAnsi="細明體" w:cs="新細明體" w:hint="eastAsia"/>
          <w:color w:val="333333"/>
          <w:kern w:val="0"/>
          <w:sz w:val="23"/>
          <w:szCs w:val="23"/>
        </w:rPr>
        <w:br/>
        <w:t xml:space="preserve">    以上五十萬元以下罰鍰。</w:t>
      </w:r>
      <w:r w:rsidRPr="00386ADC">
        <w:rPr>
          <w:rFonts w:ascii="細明體" w:eastAsia="細明體" w:hAnsi="細明體" w:cs="新細明體" w:hint="eastAsia"/>
          <w:color w:val="333333"/>
          <w:kern w:val="0"/>
          <w:sz w:val="23"/>
          <w:szCs w:val="23"/>
        </w:rPr>
        <w:br/>
        <w:t>三、交易或補助金額新臺幣</w:t>
      </w:r>
      <w:proofErr w:type="gramStart"/>
      <w:r w:rsidRPr="00386ADC">
        <w:rPr>
          <w:rFonts w:ascii="細明體" w:eastAsia="細明體" w:hAnsi="細明體" w:cs="新細明體" w:hint="eastAsia"/>
          <w:color w:val="333333"/>
          <w:kern w:val="0"/>
          <w:sz w:val="23"/>
          <w:szCs w:val="23"/>
        </w:rPr>
        <w:t>一</w:t>
      </w:r>
      <w:proofErr w:type="gramEnd"/>
      <w:r w:rsidRPr="00386ADC">
        <w:rPr>
          <w:rFonts w:ascii="細明體" w:eastAsia="細明體" w:hAnsi="細明體" w:cs="新細明體" w:hint="eastAsia"/>
          <w:color w:val="333333"/>
          <w:kern w:val="0"/>
          <w:sz w:val="23"/>
          <w:szCs w:val="23"/>
        </w:rPr>
        <w:t>百萬元以上未達一千萬元者，處新臺幣六十</w:t>
      </w:r>
      <w:r w:rsidRPr="00386ADC">
        <w:rPr>
          <w:rFonts w:ascii="細明體" w:eastAsia="細明體" w:hAnsi="細明體" w:cs="新細明體" w:hint="eastAsia"/>
          <w:color w:val="333333"/>
          <w:kern w:val="0"/>
          <w:sz w:val="23"/>
          <w:szCs w:val="23"/>
        </w:rPr>
        <w:br/>
        <w:t xml:space="preserve">    萬元以上五百萬元以下罰鍰。</w:t>
      </w:r>
      <w:r w:rsidRPr="00386ADC">
        <w:rPr>
          <w:rFonts w:ascii="細明體" w:eastAsia="細明體" w:hAnsi="細明體" w:cs="新細明體" w:hint="eastAsia"/>
          <w:color w:val="333333"/>
          <w:kern w:val="0"/>
          <w:sz w:val="23"/>
          <w:szCs w:val="23"/>
        </w:rPr>
        <w:br/>
        <w:t>四、交易或補助金額新臺幣一千萬元以上者，處新臺幣六百萬元以上該交</w:t>
      </w:r>
      <w:r w:rsidRPr="00386ADC">
        <w:rPr>
          <w:rFonts w:ascii="細明體" w:eastAsia="細明體" w:hAnsi="細明體" w:cs="新細明體" w:hint="eastAsia"/>
          <w:color w:val="333333"/>
          <w:kern w:val="0"/>
          <w:sz w:val="23"/>
          <w:szCs w:val="23"/>
        </w:rPr>
        <w:br/>
        <w:t xml:space="preserve">    易金額以下罰鍰。</w:t>
      </w:r>
      <w:r w:rsidRPr="00386ADC">
        <w:rPr>
          <w:rFonts w:ascii="細明體" w:eastAsia="細明體" w:hAnsi="細明體" w:cs="新細明體" w:hint="eastAsia"/>
          <w:color w:val="333333"/>
          <w:kern w:val="0"/>
          <w:sz w:val="23"/>
          <w:szCs w:val="23"/>
        </w:rPr>
        <w:br/>
        <w:t>前項交易金額依契約所明定或可得確定之價格定之。但結算後之金額高於</w:t>
      </w:r>
      <w:r w:rsidRPr="00386ADC">
        <w:rPr>
          <w:rFonts w:ascii="細明體" w:eastAsia="細明體" w:hAnsi="細明體" w:cs="新細明體" w:hint="eastAsia"/>
          <w:color w:val="333333"/>
          <w:kern w:val="0"/>
          <w:sz w:val="23"/>
          <w:szCs w:val="23"/>
        </w:rPr>
        <w:br/>
        <w:t>該價格者，依結算金額。</w:t>
      </w:r>
      <w:r w:rsidRPr="00386ADC">
        <w:rPr>
          <w:rFonts w:ascii="細明體" w:eastAsia="細明體" w:hAnsi="細明體" w:cs="新細明體" w:hint="eastAsia"/>
          <w:color w:val="333333"/>
          <w:kern w:val="0"/>
          <w:sz w:val="23"/>
          <w:szCs w:val="23"/>
        </w:rPr>
        <w:br/>
        <w:t>違反第十四條第二項規定者，處新臺幣五萬元以上五十萬元以下罰鍰，並</w:t>
      </w:r>
      <w:r w:rsidRPr="00386ADC">
        <w:rPr>
          <w:rFonts w:ascii="細明體" w:eastAsia="細明體" w:hAnsi="細明體" w:cs="新細明體" w:hint="eastAsia"/>
          <w:color w:val="333333"/>
          <w:kern w:val="0"/>
          <w:sz w:val="23"/>
          <w:szCs w:val="23"/>
        </w:rPr>
        <w:br/>
        <w:t>得按次處罰。</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19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違反第十五條規定，受查詢而無正當理由拒絕或為不實之說明、提供者，</w:t>
      </w:r>
      <w:r w:rsidRPr="00386ADC">
        <w:rPr>
          <w:rFonts w:ascii="細明體" w:eastAsia="細明體" w:hAnsi="細明體" w:cs="新細明體" w:hint="eastAsia"/>
          <w:color w:val="333333"/>
          <w:kern w:val="0"/>
          <w:sz w:val="23"/>
          <w:szCs w:val="23"/>
        </w:rPr>
        <w:br/>
        <w:t>處新臺幣二萬元以上二十萬元以下罰鍰；經限期通知配合，屆期仍拒絕或</w:t>
      </w:r>
      <w:r w:rsidRPr="00386ADC">
        <w:rPr>
          <w:rFonts w:ascii="細明體" w:eastAsia="細明體" w:hAnsi="細明體" w:cs="新細明體" w:hint="eastAsia"/>
          <w:color w:val="333333"/>
          <w:kern w:val="0"/>
          <w:sz w:val="23"/>
          <w:szCs w:val="23"/>
        </w:rPr>
        <w:br/>
        <w:t>為不實之說明、提供者，得按次處罰。</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20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第十六條至第十八條所定之罰鍰，由下列機關處罰之。依法代理執行公職</w:t>
      </w:r>
      <w:r w:rsidRPr="00386ADC">
        <w:rPr>
          <w:rFonts w:ascii="細明體" w:eastAsia="細明體" w:hAnsi="細明體" w:cs="新細明體" w:hint="eastAsia"/>
          <w:color w:val="333333"/>
          <w:kern w:val="0"/>
          <w:sz w:val="23"/>
          <w:szCs w:val="23"/>
        </w:rPr>
        <w:br/>
        <w:t>人員職務之人員，亦同：</w:t>
      </w:r>
      <w:r w:rsidRPr="00386ADC">
        <w:rPr>
          <w:rFonts w:ascii="細明體" w:eastAsia="細明體" w:hAnsi="細明體" w:cs="新細明體" w:hint="eastAsia"/>
          <w:color w:val="333333"/>
          <w:kern w:val="0"/>
          <w:sz w:val="23"/>
          <w:szCs w:val="23"/>
        </w:rPr>
        <w:br/>
        <w:t>一、監察院：</w:t>
      </w:r>
      <w:r w:rsidRPr="00386ADC">
        <w:rPr>
          <w:rFonts w:ascii="細明體" w:eastAsia="細明體" w:hAnsi="細明體" w:cs="新細明體" w:hint="eastAsia"/>
          <w:color w:val="333333"/>
          <w:kern w:val="0"/>
          <w:sz w:val="23"/>
          <w:szCs w:val="23"/>
        </w:rPr>
        <w:br/>
        <w:t>（一）第二條第一項第一款、第三款、第五款至第八款之人員。</w:t>
      </w:r>
      <w:r w:rsidRPr="00386ADC">
        <w:rPr>
          <w:rFonts w:ascii="細明體" w:eastAsia="細明體" w:hAnsi="細明體" w:cs="新細明體" w:hint="eastAsia"/>
          <w:color w:val="333333"/>
          <w:kern w:val="0"/>
          <w:sz w:val="23"/>
          <w:szCs w:val="23"/>
        </w:rPr>
        <w:br/>
        <w:t>（二）第二條第一項第二款之行政、立法、司法、考試、監察各院院長、</w:t>
      </w:r>
      <w:r w:rsidRPr="00386ADC">
        <w:rPr>
          <w:rFonts w:ascii="細明體" w:eastAsia="細明體" w:hAnsi="細明體" w:cs="新細明體" w:hint="eastAsia"/>
          <w:color w:val="333333"/>
          <w:kern w:val="0"/>
          <w:sz w:val="23"/>
          <w:szCs w:val="23"/>
        </w:rPr>
        <w:br/>
      </w:r>
      <w:r w:rsidRPr="00386ADC">
        <w:rPr>
          <w:rFonts w:ascii="細明體" w:eastAsia="細明體" w:hAnsi="細明體" w:cs="新細明體" w:hint="eastAsia"/>
          <w:color w:val="333333"/>
          <w:kern w:val="0"/>
          <w:sz w:val="23"/>
          <w:szCs w:val="23"/>
        </w:rPr>
        <w:lastRenderedPageBreak/>
        <w:t xml:space="preserve">      副院長、職務列簡任第十二職等或</w:t>
      </w:r>
      <w:proofErr w:type="gramStart"/>
      <w:r w:rsidRPr="00386ADC">
        <w:rPr>
          <w:rFonts w:ascii="細明體" w:eastAsia="細明體" w:hAnsi="細明體" w:cs="新細明體" w:hint="eastAsia"/>
          <w:color w:val="333333"/>
          <w:kern w:val="0"/>
          <w:sz w:val="23"/>
          <w:szCs w:val="23"/>
        </w:rPr>
        <w:t>相當</w:t>
      </w:r>
      <w:proofErr w:type="gramEnd"/>
      <w:r w:rsidRPr="00386ADC">
        <w:rPr>
          <w:rFonts w:ascii="細明體" w:eastAsia="細明體" w:hAnsi="細明體" w:cs="新細明體" w:hint="eastAsia"/>
          <w:color w:val="333333"/>
          <w:kern w:val="0"/>
          <w:sz w:val="23"/>
          <w:szCs w:val="23"/>
        </w:rPr>
        <w:t>簡任第十二職等以上之首長</w:t>
      </w:r>
      <w:r w:rsidRPr="00386ADC">
        <w:rPr>
          <w:rFonts w:ascii="細明體" w:eastAsia="細明體" w:hAnsi="細明體" w:cs="新細明體" w:hint="eastAsia"/>
          <w:color w:val="333333"/>
          <w:kern w:val="0"/>
          <w:sz w:val="23"/>
          <w:szCs w:val="23"/>
        </w:rPr>
        <w:br/>
        <w:t xml:space="preserve">      、副首長、幕僚長、副幕僚長及依公職人員選舉罷免法選舉產生之</w:t>
      </w:r>
      <w:r w:rsidRPr="00386ADC">
        <w:rPr>
          <w:rFonts w:ascii="細明體" w:eastAsia="細明體" w:hAnsi="細明體" w:cs="新細明體" w:hint="eastAsia"/>
          <w:color w:val="333333"/>
          <w:kern w:val="0"/>
          <w:sz w:val="23"/>
          <w:szCs w:val="23"/>
        </w:rPr>
        <w:br/>
        <w:t xml:space="preserve">      鄉（鎮、市）級以上各級政府機關首長。</w:t>
      </w:r>
      <w:r w:rsidRPr="00386ADC">
        <w:rPr>
          <w:rFonts w:ascii="細明體" w:eastAsia="細明體" w:hAnsi="細明體" w:cs="新細明體" w:hint="eastAsia"/>
          <w:color w:val="333333"/>
          <w:kern w:val="0"/>
          <w:sz w:val="23"/>
          <w:szCs w:val="23"/>
        </w:rPr>
        <w:br/>
        <w:t>（三）第二條第一項第四款專科以上學校校長及附屬機構首長。</w:t>
      </w:r>
      <w:r w:rsidRPr="00386ADC">
        <w:rPr>
          <w:rFonts w:ascii="細明體" w:eastAsia="細明體" w:hAnsi="細明體" w:cs="新細明體" w:hint="eastAsia"/>
          <w:color w:val="333333"/>
          <w:kern w:val="0"/>
          <w:sz w:val="23"/>
          <w:szCs w:val="23"/>
        </w:rPr>
        <w:br/>
        <w:t>（四）第二條第一項第九款本</w:t>
      </w:r>
      <w:proofErr w:type="gramStart"/>
      <w:r w:rsidRPr="00386ADC">
        <w:rPr>
          <w:rFonts w:ascii="細明體" w:eastAsia="細明體" w:hAnsi="細明體" w:cs="新細明體" w:hint="eastAsia"/>
          <w:color w:val="333333"/>
          <w:kern w:val="0"/>
          <w:sz w:val="23"/>
          <w:szCs w:val="23"/>
        </w:rPr>
        <w:t>俸</w:t>
      </w:r>
      <w:proofErr w:type="gramEnd"/>
      <w:r w:rsidRPr="00386ADC">
        <w:rPr>
          <w:rFonts w:ascii="細明體" w:eastAsia="細明體" w:hAnsi="細明體" w:cs="新細明體" w:hint="eastAsia"/>
          <w:color w:val="333333"/>
          <w:kern w:val="0"/>
          <w:sz w:val="23"/>
          <w:szCs w:val="23"/>
        </w:rPr>
        <w:t>六級以上之法官、檢察官。</w:t>
      </w:r>
      <w:r w:rsidRPr="00386ADC">
        <w:rPr>
          <w:rFonts w:ascii="細明體" w:eastAsia="細明體" w:hAnsi="細明體" w:cs="新細明體" w:hint="eastAsia"/>
          <w:color w:val="333333"/>
          <w:kern w:val="0"/>
          <w:sz w:val="23"/>
          <w:szCs w:val="23"/>
        </w:rPr>
        <w:br/>
        <w:t>（五）第二條第一項第十款少將編階以上之人員。</w:t>
      </w:r>
      <w:r w:rsidRPr="00386ADC">
        <w:rPr>
          <w:rFonts w:ascii="細明體" w:eastAsia="細明體" w:hAnsi="細明體" w:cs="新細明體" w:hint="eastAsia"/>
          <w:color w:val="333333"/>
          <w:kern w:val="0"/>
          <w:sz w:val="23"/>
          <w:szCs w:val="23"/>
        </w:rPr>
        <w:br/>
        <w:t>（六）本款公職人員之關係人。</w:t>
      </w:r>
      <w:r w:rsidRPr="00386ADC">
        <w:rPr>
          <w:rFonts w:ascii="細明體" w:eastAsia="細明體" w:hAnsi="細明體" w:cs="新細明體" w:hint="eastAsia"/>
          <w:color w:val="333333"/>
          <w:kern w:val="0"/>
          <w:sz w:val="23"/>
          <w:szCs w:val="23"/>
        </w:rPr>
        <w:br/>
        <w:t>二、法務部：前款以外之公職人員及其關係人。</w:t>
      </w:r>
      <w:r w:rsidRPr="00386ADC">
        <w:rPr>
          <w:rFonts w:ascii="細明體" w:eastAsia="細明體" w:hAnsi="細明體" w:cs="新細明體" w:hint="eastAsia"/>
          <w:color w:val="333333"/>
          <w:kern w:val="0"/>
          <w:sz w:val="23"/>
          <w:szCs w:val="23"/>
        </w:rPr>
        <w:br/>
        <w:t>前條所定之罰鍰，受監察院查詢者，由監察院處罰之；受法務部或政風機</w:t>
      </w:r>
      <w:r w:rsidRPr="00386ADC">
        <w:rPr>
          <w:rFonts w:ascii="細明體" w:eastAsia="細明體" w:hAnsi="細明體" w:cs="新細明體" w:hint="eastAsia"/>
          <w:color w:val="333333"/>
          <w:kern w:val="0"/>
          <w:sz w:val="23"/>
          <w:szCs w:val="23"/>
        </w:rPr>
        <w:br/>
        <w:t>構查詢者，由法務部處罰之。</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21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依本法裁處罰鍰確定者，由處分機關刊登政府公報，並公開於電腦網路。</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22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本法施行細則由行政院會同考試院、監察院定之。</w:t>
      </w:r>
    </w:p>
    <w:p w:rsidR="00386ADC" w:rsidRPr="00386ADC" w:rsidRDefault="00386ADC" w:rsidP="00386ADC">
      <w:pPr>
        <w:widowControl/>
        <w:shd w:val="clear" w:color="auto" w:fill="FFFFFF"/>
        <w:spacing w:line="383" w:lineRule="atLeast"/>
        <w:jc w:val="righ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第 23 條</w:t>
      </w:r>
    </w:p>
    <w:p w:rsidR="00386ADC" w:rsidRPr="00386ADC" w:rsidRDefault="00386ADC" w:rsidP="00386ADC">
      <w:pPr>
        <w:widowControl/>
        <w:shd w:val="clear" w:color="auto" w:fill="FFFFFF"/>
        <w:spacing w:line="405" w:lineRule="atLeast"/>
        <w:rPr>
          <w:rFonts w:ascii="細明體" w:eastAsia="細明體" w:hAnsi="細明體" w:cs="新細明體" w:hint="eastAsia"/>
          <w:color w:val="333333"/>
          <w:kern w:val="0"/>
          <w:sz w:val="23"/>
          <w:szCs w:val="23"/>
        </w:rPr>
      </w:pPr>
      <w:r w:rsidRPr="00386ADC">
        <w:rPr>
          <w:rFonts w:ascii="細明體" w:eastAsia="細明體" w:hAnsi="細明體" w:cs="新細明體" w:hint="eastAsia"/>
          <w:color w:val="333333"/>
          <w:kern w:val="0"/>
          <w:sz w:val="23"/>
          <w:szCs w:val="23"/>
        </w:rPr>
        <w:t>本法自公布後六</w:t>
      </w:r>
      <w:proofErr w:type="gramStart"/>
      <w:r w:rsidRPr="00386ADC">
        <w:rPr>
          <w:rFonts w:ascii="細明體" w:eastAsia="細明體" w:hAnsi="細明體" w:cs="新細明體" w:hint="eastAsia"/>
          <w:color w:val="333333"/>
          <w:kern w:val="0"/>
          <w:sz w:val="23"/>
          <w:szCs w:val="23"/>
        </w:rPr>
        <w:t>個</w:t>
      </w:r>
      <w:proofErr w:type="gramEnd"/>
      <w:r w:rsidRPr="00386ADC">
        <w:rPr>
          <w:rFonts w:ascii="細明體" w:eastAsia="細明體" w:hAnsi="細明體" w:cs="新細明體" w:hint="eastAsia"/>
          <w:color w:val="333333"/>
          <w:kern w:val="0"/>
          <w:sz w:val="23"/>
          <w:szCs w:val="23"/>
        </w:rPr>
        <w:t>月施行。</w:t>
      </w:r>
    </w:p>
    <w:p w:rsidR="00BC281C" w:rsidRPr="00386ADC" w:rsidRDefault="00BC281C">
      <w:bookmarkStart w:id="0" w:name="_GoBack"/>
      <w:bookmarkEnd w:id="0"/>
    </w:p>
    <w:sectPr w:rsidR="00BC281C" w:rsidRPr="00386AD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DC"/>
    <w:rsid w:val="00386ADC"/>
    <w:rsid w:val="00B81096"/>
    <w:rsid w:val="00BC28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71F6-69C4-4C4F-9B62-6B688882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386ADC"/>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ADC"/>
    <w:rPr>
      <w:rFonts w:ascii="新細明體" w:eastAsia="新細明體" w:hAnsi="新細明體" w:cs="新細明體"/>
      <w:b/>
      <w:bCs/>
      <w:kern w:val="0"/>
      <w:sz w:val="36"/>
      <w:szCs w:val="36"/>
    </w:rPr>
  </w:style>
  <w:style w:type="character" w:customStyle="1" w:styleId="label-eng">
    <w:name w:val="label-eng"/>
    <w:basedOn w:val="a0"/>
    <w:rsid w:val="0038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407265">
      <w:bodyDiv w:val="1"/>
      <w:marLeft w:val="0"/>
      <w:marRight w:val="0"/>
      <w:marTop w:val="0"/>
      <w:marBottom w:val="0"/>
      <w:divBdr>
        <w:top w:val="none" w:sz="0" w:space="0" w:color="auto"/>
        <w:left w:val="none" w:sz="0" w:space="0" w:color="auto"/>
        <w:bottom w:val="none" w:sz="0" w:space="0" w:color="auto"/>
        <w:right w:val="none" w:sz="0" w:space="0" w:color="auto"/>
      </w:divBdr>
      <w:divsChild>
        <w:div w:id="715785073">
          <w:marLeft w:val="0"/>
          <w:marRight w:val="0"/>
          <w:marTop w:val="0"/>
          <w:marBottom w:val="0"/>
          <w:divBdr>
            <w:top w:val="none" w:sz="0" w:space="0" w:color="auto"/>
            <w:left w:val="none" w:sz="0" w:space="0" w:color="auto"/>
            <w:bottom w:val="none" w:sz="0" w:space="0" w:color="auto"/>
            <w:right w:val="none" w:sz="0" w:space="0" w:color="auto"/>
          </w:divBdr>
        </w:div>
        <w:div w:id="1642613538">
          <w:marLeft w:val="0"/>
          <w:marRight w:val="0"/>
          <w:marTop w:val="0"/>
          <w:marBottom w:val="0"/>
          <w:divBdr>
            <w:top w:val="none" w:sz="0" w:space="0" w:color="auto"/>
            <w:left w:val="none" w:sz="0" w:space="0" w:color="auto"/>
            <w:bottom w:val="none" w:sz="0" w:space="0" w:color="auto"/>
            <w:right w:val="none" w:sz="0" w:space="0" w:color="auto"/>
          </w:divBdr>
        </w:div>
        <w:div w:id="342900313">
          <w:marLeft w:val="0"/>
          <w:marRight w:val="0"/>
          <w:marTop w:val="360"/>
          <w:marBottom w:val="300"/>
          <w:divBdr>
            <w:top w:val="none" w:sz="0" w:space="0" w:color="auto"/>
            <w:left w:val="none" w:sz="0" w:space="0" w:color="auto"/>
            <w:bottom w:val="none" w:sz="0" w:space="0" w:color="auto"/>
            <w:right w:val="none" w:sz="0" w:space="0" w:color="auto"/>
          </w:divBdr>
          <w:divsChild>
            <w:div w:id="609894271">
              <w:marLeft w:val="0"/>
              <w:marRight w:val="0"/>
              <w:marTop w:val="0"/>
              <w:marBottom w:val="0"/>
              <w:divBdr>
                <w:top w:val="none" w:sz="0" w:space="0" w:color="auto"/>
                <w:left w:val="none" w:sz="0" w:space="0" w:color="auto"/>
                <w:bottom w:val="none" w:sz="0" w:space="0" w:color="auto"/>
                <w:right w:val="none" w:sz="0" w:space="0" w:color="auto"/>
              </w:divBdr>
              <w:divsChild>
                <w:div w:id="1095632689">
                  <w:marLeft w:val="-225"/>
                  <w:marRight w:val="-225"/>
                  <w:marTop w:val="0"/>
                  <w:marBottom w:val="0"/>
                  <w:divBdr>
                    <w:top w:val="none" w:sz="0" w:space="0" w:color="auto"/>
                    <w:left w:val="none" w:sz="0" w:space="0" w:color="auto"/>
                    <w:bottom w:val="none" w:sz="0" w:space="0" w:color="auto"/>
                    <w:right w:val="none" w:sz="0" w:space="0" w:color="auto"/>
                  </w:divBdr>
                  <w:divsChild>
                    <w:div w:id="2019623441">
                      <w:marLeft w:val="0"/>
                      <w:marRight w:val="240"/>
                      <w:marTop w:val="0"/>
                      <w:marBottom w:val="0"/>
                      <w:divBdr>
                        <w:top w:val="none" w:sz="0" w:space="0" w:color="auto"/>
                        <w:left w:val="none" w:sz="0" w:space="0" w:color="auto"/>
                        <w:bottom w:val="none" w:sz="0" w:space="0" w:color="auto"/>
                        <w:right w:val="none" w:sz="0" w:space="0" w:color="auto"/>
                      </w:divBdr>
                    </w:div>
                    <w:div w:id="1277642765">
                      <w:marLeft w:val="0"/>
                      <w:marRight w:val="0"/>
                      <w:marTop w:val="0"/>
                      <w:marBottom w:val="0"/>
                      <w:divBdr>
                        <w:top w:val="none" w:sz="0" w:space="0" w:color="auto"/>
                        <w:left w:val="none" w:sz="0" w:space="0" w:color="auto"/>
                        <w:bottom w:val="none" w:sz="0" w:space="0" w:color="auto"/>
                        <w:right w:val="none" w:sz="0" w:space="0" w:color="auto"/>
                      </w:divBdr>
                    </w:div>
                  </w:divsChild>
                </w:div>
                <w:div w:id="876628693">
                  <w:marLeft w:val="-225"/>
                  <w:marRight w:val="-225"/>
                  <w:marTop w:val="0"/>
                  <w:marBottom w:val="0"/>
                  <w:divBdr>
                    <w:top w:val="none" w:sz="0" w:space="0" w:color="auto"/>
                    <w:left w:val="none" w:sz="0" w:space="0" w:color="auto"/>
                    <w:bottom w:val="none" w:sz="0" w:space="0" w:color="auto"/>
                    <w:right w:val="none" w:sz="0" w:space="0" w:color="auto"/>
                  </w:divBdr>
                  <w:divsChild>
                    <w:div w:id="2088069169">
                      <w:marLeft w:val="0"/>
                      <w:marRight w:val="240"/>
                      <w:marTop w:val="0"/>
                      <w:marBottom w:val="0"/>
                      <w:divBdr>
                        <w:top w:val="none" w:sz="0" w:space="0" w:color="auto"/>
                        <w:left w:val="none" w:sz="0" w:space="0" w:color="auto"/>
                        <w:bottom w:val="none" w:sz="0" w:space="0" w:color="auto"/>
                        <w:right w:val="none" w:sz="0" w:space="0" w:color="auto"/>
                      </w:divBdr>
                    </w:div>
                    <w:div w:id="903688020">
                      <w:marLeft w:val="0"/>
                      <w:marRight w:val="0"/>
                      <w:marTop w:val="0"/>
                      <w:marBottom w:val="0"/>
                      <w:divBdr>
                        <w:top w:val="none" w:sz="0" w:space="0" w:color="auto"/>
                        <w:left w:val="none" w:sz="0" w:space="0" w:color="auto"/>
                        <w:bottom w:val="none" w:sz="0" w:space="0" w:color="auto"/>
                        <w:right w:val="none" w:sz="0" w:space="0" w:color="auto"/>
                      </w:divBdr>
                    </w:div>
                  </w:divsChild>
                </w:div>
                <w:div w:id="1807820242">
                  <w:marLeft w:val="-225"/>
                  <w:marRight w:val="-225"/>
                  <w:marTop w:val="0"/>
                  <w:marBottom w:val="0"/>
                  <w:divBdr>
                    <w:top w:val="none" w:sz="0" w:space="0" w:color="auto"/>
                    <w:left w:val="none" w:sz="0" w:space="0" w:color="auto"/>
                    <w:bottom w:val="none" w:sz="0" w:space="0" w:color="auto"/>
                    <w:right w:val="none" w:sz="0" w:space="0" w:color="auto"/>
                  </w:divBdr>
                  <w:divsChild>
                    <w:div w:id="1579442245">
                      <w:marLeft w:val="0"/>
                      <w:marRight w:val="240"/>
                      <w:marTop w:val="0"/>
                      <w:marBottom w:val="0"/>
                      <w:divBdr>
                        <w:top w:val="none" w:sz="0" w:space="0" w:color="auto"/>
                        <w:left w:val="none" w:sz="0" w:space="0" w:color="auto"/>
                        <w:bottom w:val="none" w:sz="0" w:space="0" w:color="auto"/>
                        <w:right w:val="none" w:sz="0" w:space="0" w:color="auto"/>
                      </w:divBdr>
                    </w:div>
                    <w:div w:id="1389690893">
                      <w:marLeft w:val="0"/>
                      <w:marRight w:val="0"/>
                      <w:marTop w:val="0"/>
                      <w:marBottom w:val="0"/>
                      <w:divBdr>
                        <w:top w:val="none" w:sz="0" w:space="0" w:color="auto"/>
                        <w:left w:val="none" w:sz="0" w:space="0" w:color="auto"/>
                        <w:bottom w:val="none" w:sz="0" w:space="0" w:color="auto"/>
                        <w:right w:val="none" w:sz="0" w:space="0" w:color="auto"/>
                      </w:divBdr>
                    </w:div>
                  </w:divsChild>
                </w:div>
                <w:div w:id="175652163">
                  <w:marLeft w:val="-225"/>
                  <w:marRight w:val="-225"/>
                  <w:marTop w:val="0"/>
                  <w:marBottom w:val="0"/>
                  <w:divBdr>
                    <w:top w:val="none" w:sz="0" w:space="0" w:color="auto"/>
                    <w:left w:val="none" w:sz="0" w:space="0" w:color="auto"/>
                    <w:bottom w:val="none" w:sz="0" w:space="0" w:color="auto"/>
                    <w:right w:val="none" w:sz="0" w:space="0" w:color="auto"/>
                  </w:divBdr>
                  <w:divsChild>
                    <w:div w:id="2022121005">
                      <w:marLeft w:val="0"/>
                      <w:marRight w:val="240"/>
                      <w:marTop w:val="0"/>
                      <w:marBottom w:val="0"/>
                      <w:divBdr>
                        <w:top w:val="none" w:sz="0" w:space="0" w:color="auto"/>
                        <w:left w:val="none" w:sz="0" w:space="0" w:color="auto"/>
                        <w:bottom w:val="none" w:sz="0" w:space="0" w:color="auto"/>
                        <w:right w:val="none" w:sz="0" w:space="0" w:color="auto"/>
                      </w:divBdr>
                    </w:div>
                    <w:div w:id="973144481">
                      <w:marLeft w:val="0"/>
                      <w:marRight w:val="0"/>
                      <w:marTop w:val="0"/>
                      <w:marBottom w:val="0"/>
                      <w:divBdr>
                        <w:top w:val="none" w:sz="0" w:space="0" w:color="auto"/>
                        <w:left w:val="none" w:sz="0" w:space="0" w:color="auto"/>
                        <w:bottom w:val="none" w:sz="0" w:space="0" w:color="auto"/>
                        <w:right w:val="none" w:sz="0" w:space="0" w:color="auto"/>
                      </w:divBdr>
                    </w:div>
                  </w:divsChild>
                </w:div>
                <w:div w:id="713121612">
                  <w:marLeft w:val="-225"/>
                  <w:marRight w:val="-225"/>
                  <w:marTop w:val="0"/>
                  <w:marBottom w:val="0"/>
                  <w:divBdr>
                    <w:top w:val="none" w:sz="0" w:space="0" w:color="auto"/>
                    <w:left w:val="none" w:sz="0" w:space="0" w:color="auto"/>
                    <w:bottom w:val="none" w:sz="0" w:space="0" w:color="auto"/>
                    <w:right w:val="none" w:sz="0" w:space="0" w:color="auto"/>
                  </w:divBdr>
                  <w:divsChild>
                    <w:div w:id="1115829343">
                      <w:marLeft w:val="0"/>
                      <w:marRight w:val="240"/>
                      <w:marTop w:val="0"/>
                      <w:marBottom w:val="0"/>
                      <w:divBdr>
                        <w:top w:val="none" w:sz="0" w:space="0" w:color="auto"/>
                        <w:left w:val="none" w:sz="0" w:space="0" w:color="auto"/>
                        <w:bottom w:val="none" w:sz="0" w:space="0" w:color="auto"/>
                        <w:right w:val="none" w:sz="0" w:space="0" w:color="auto"/>
                      </w:divBdr>
                    </w:div>
                    <w:div w:id="857277568">
                      <w:marLeft w:val="0"/>
                      <w:marRight w:val="0"/>
                      <w:marTop w:val="0"/>
                      <w:marBottom w:val="0"/>
                      <w:divBdr>
                        <w:top w:val="none" w:sz="0" w:space="0" w:color="auto"/>
                        <w:left w:val="none" w:sz="0" w:space="0" w:color="auto"/>
                        <w:bottom w:val="none" w:sz="0" w:space="0" w:color="auto"/>
                        <w:right w:val="none" w:sz="0" w:space="0" w:color="auto"/>
                      </w:divBdr>
                    </w:div>
                  </w:divsChild>
                </w:div>
                <w:div w:id="604994613">
                  <w:marLeft w:val="-225"/>
                  <w:marRight w:val="-225"/>
                  <w:marTop w:val="0"/>
                  <w:marBottom w:val="0"/>
                  <w:divBdr>
                    <w:top w:val="none" w:sz="0" w:space="0" w:color="auto"/>
                    <w:left w:val="none" w:sz="0" w:space="0" w:color="auto"/>
                    <w:bottom w:val="none" w:sz="0" w:space="0" w:color="auto"/>
                    <w:right w:val="none" w:sz="0" w:space="0" w:color="auto"/>
                  </w:divBdr>
                  <w:divsChild>
                    <w:div w:id="365180636">
                      <w:marLeft w:val="0"/>
                      <w:marRight w:val="240"/>
                      <w:marTop w:val="0"/>
                      <w:marBottom w:val="0"/>
                      <w:divBdr>
                        <w:top w:val="none" w:sz="0" w:space="0" w:color="auto"/>
                        <w:left w:val="none" w:sz="0" w:space="0" w:color="auto"/>
                        <w:bottom w:val="none" w:sz="0" w:space="0" w:color="auto"/>
                        <w:right w:val="none" w:sz="0" w:space="0" w:color="auto"/>
                      </w:divBdr>
                    </w:div>
                    <w:div w:id="1093816093">
                      <w:marLeft w:val="0"/>
                      <w:marRight w:val="0"/>
                      <w:marTop w:val="0"/>
                      <w:marBottom w:val="0"/>
                      <w:divBdr>
                        <w:top w:val="none" w:sz="0" w:space="0" w:color="auto"/>
                        <w:left w:val="none" w:sz="0" w:space="0" w:color="auto"/>
                        <w:bottom w:val="none" w:sz="0" w:space="0" w:color="auto"/>
                        <w:right w:val="none" w:sz="0" w:space="0" w:color="auto"/>
                      </w:divBdr>
                    </w:div>
                  </w:divsChild>
                </w:div>
                <w:div w:id="668336887">
                  <w:marLeft w:val="-225"/>
                  <w:marRight w:val="-225"/>
                  <w:marTop w:val="0"/>
                  <w:marBottom w:val="0"/>
                  <w:divBdr>
                    <w:top w:val="none" w:sz="0" w:space="0" w:color="auto"/>
                    <w:left w:val="none" w:sz="0" w:space="0" w:color="auto"/>
                    <w:bottom w:val="none" w:sz="0" w:space="0" w:color="auto"/>
                    <w:right w:val="none" w:sz="0" w:space="0" w:color="auto"/>
                  </w:divBdr>
                  <w:divsChild>
                    <w:div w:id="1028800485">
                      <w:marLeft w:val="0"/>
                      <w:marRight w:val="240"/>
                      <w:marTop w:val="0"/>
                      <w:marBottom w:val="0"/>
                      <w:divBdr>
                        <w:top w:val="none" w:sz="0" w:space="0" w:color="auto"/>
                        <w:left w:val="none" w:sz="0" w:space="0" w:color="auto"/>
                        <w:bottom w:val="none" w:sz="0" w:space="0" w:color="auto"/>
                        <w:right w:val="none" w:sz="0" w:space="0" w:color="auto"/>
                      </w:divBdr>
                    </w:div>
                    <w:div w:id="1219710909">
                      <w:marLeft w:val="0"/>
                      <w:marRight w:val="0"/>
                      <w:marTop w:val="0"/>
                      <w:marBottom w:val="0"/>
                      <w:divBdr>
                        <w:top w:val="none" w:sz="0" w:space="0" w:color="auto"/>
                        <w:left w:val="none" w:sz="0" w:space="0" w:color="auto"/>
                        <w:bottom w:val="none" w:sz="0" w:space="0" w:color="auto"/>
                        <w:right w:val="none" w:sz="0" w:space="0" w:color="auto"/>
                      </w:divBdr>
                    </w:div>
                  </w:divsChild>
                </w:div>
                <w:div w:id="55934023">
                  <w:marLeft w:val="-225"/>
                  <w:marRight w:val="-225"/>
                  <w:marTop w:val="0"/>
                  <w:marBottom w:val="0"/>
                  <w:divBdr>
                    <w:top w:val="none" w:sz="0" w:space="0" w:color="auto"/>
                    <w:left w:val="none" w:sz="0" w:space="0" w:color="auto"/>
                    <w:bottom w:val="none" w:sz="0" w:space="0" w:color="auto"/>
                    <w:right w:val="none" w:sz="0" w:space="0" w:color="auto"/>
                  </w:divBdr>
                  <w:divsChild>
                    <w:div w:id="1058360494">
                      <w:marLeft w:val="0"/>
                      <w:marRight w:val="240"/>
                      <w:marTop w:val="0"/>
                      <w:marBottom w:val="0"/>
                      <w:divBdr>
                        <w:top w:val="none" w:sz="0" w:space="0" w:color="auto"/>
                        <w:left w:val="none" w:sz="0" w:space="0" w:color="auto"/>
                        <w:bottom w:val="none" w:sz="0" w:space="0" w:color="auto"/>
                        <w:right w:val="none" w:sz="0" w:space="0" w:color="auto"/>
                      </w:divBdr>
                    </w:div>
                    <w:div w:id="1063407615">
                      <w:marLeft w:val="0"/>
                      <w:marRight w:val="0"/>
                      <w:marTop w:val="0"/>
                      <w:marBottom w:val="0"/>
                      <w:divBdr>
                        <w:top w:val="none" w:sz="0" w:space="0" w:color="auto"/>
                        <w:left w:val="none" w:sz="0" w:space="0" w:color="auto"/>
                        <w:bottom w:val="none" w:sz="0" w:space="0" w:color="auto"/>
                        <w:right w:val="none" w:sz="0" w:space="0" w:color="auto"/>
                      </w:divBdr>
                    </w:div>
                  </w:divsChild>
                </w:div>
                <w:div w:id="1826165957">
                  <w:marLeft w:val="-225"/>
                  <w:marRight w:val="-225"/>
                  <w:marTop w:val="0"/>
                  <w:marBottom w:val="0"/>
                  <w:divBdr>
                    <w:top w:val="none" w:sz="0" w:space="0" w:color="auto"/>
                    <w:left w:val="none" w:sz="0" w:space="0" w:color="auto"/>
                    <w:bottom w:val="none" w:sz="0" w:space="0" w:color="auto"/>
                    <w:right w:val="none" w:sz="0" w:space="0" w:color="auto"/>
                  </w:divBdr>
                  <w:divsChild>
                    <w:div w:id="1694958123">
                      <w:marLeft w:val="0"/>
                      <w:marRight w:val="240"/>
                      <w:marTop w:val="0"/>
                      <w:marBottom w:val="0"/>
                      <w:divBdr>
                        <w:top w:val="none" w:sz="0" w:space="0" w:color="auto"/>
                        <w:left w:val="none" w:sz="0" w:space="0" w:color="auto"/>
                        <w:bottom w:val="none" w:sz="0" w:space="0" w:color="auto"/>
                        <w:right w:val="none" w:sz="0" w:space="0" w:color="auto"/>
                      </w:divBdr>
                    </w:div>
                    <w:div w:id="1176454675">
                      <w:marLeft w:val="0"/>
                      <w:marRight w:val="0"/>
                      <w:marTop w:val="0"/>
                      <w:marBottom w:val="0"/>
                      <w:divBdr>
                        <w:top w:val="none" w:sz="0" w:space="0" w:color="auto"/>
                        <w:left w:val="none" w:sz="0" w:space="0" w:color="auto"/>
                        <w:bottom w:val="none" w:sz="0" w:space="0" w:color="auto"/>
                        <w:right w:val="none" w:sz="0" w:space="0" w:color="auto"/>
                      </w:divBdr>
                    </w:div>
                  </w:divsChild>
                </w:div>
                <w:div w:id="278689251">
                  <w:marLeft w:val="-225"/>
                  <w:marRight w:val="-225"/>
                  <w:marTop w:val="0"/>
                  <w:marBottom w:val="0"/>
                  <w:divBdr>
                    <w:top w:val="none" w:sz="0" w:space="0" w:color="auto"/>
                    <w:left w:val="none" w:sz="0" w:space="0" w:color="auto"/>
                    <w:bottom w:val="none" w:sz="0" w:space="0" w:color="auto"/>
                    <w:right w:val="none" w:sz="0" w:space="0" w:color="auto"/>
                  </w:divBdr>
                  <w:divsChild>
                    <w:div w:id="1689675664">
                      <w:marLeft w:val="0"/>
                      <w:marRight w:val="240"/>
                      <w:marTop w:val="0"/>
                      <w:marBottom w:val="0"/>
                      <w:divBdr>
                        <w:top w:val="none" w:sz="0" w:space="0" w:color="auto"/>
                        <w:left w:val="none" w:sz="0" w:space="0" w:color="auto"/>
                        <w:bottom w:val="none" w:sz="0" w:space="0" w:color="auto"/>
                        <w:right w:val="none" w:sz="0" w:space="0" w:color="auto"/>
                      </w:divBdr>
                    </w:div>
                    <w:div w:id="713623823">
                      <w:marLeft w:val="0"/>
                      <w:marRight w:val="0"/>
                      <w:marTop w:val="0"/>
                      <w:marBottom w:val="0"/>
                      <w:divBdr>
                        <w:top w:val="none" w:sz="0" w:space="0" w:color="auto"/>
                        <w:left w:val="none" w:sz="0" w:space="0" w:color="auto"/>
                        <w:bottom w:val="none" w:sz="0" w:space="0" w:color="auto"/>
                        <w:right w:val="none" w:sz="0" w:space="0" w:color="auto"/>
                      </w:divBdr>
                    </w:div>
                  </w:divsChild>
                </w:div>
                <w:div w:id="2021546722">
                  <w:marLeft w:val="-225"/>
                  <w:marRight w:val="-225"/>
                  <w:marTop w:val="0"/>
                  <w:marBottom w:val="0"/>
                  <w:divBdr>
                    <w:top w:val="none" w:sz="0" w:space="0" w:color="auto"/>
                    <w:left w:val="none" w:sz="0" w:space="0" w:color="auto"/>
                    <w:bottom w:val="none" w:sz="0" w:space="0" w:color="auto"/>
                    <w:right w:val="none" w:sz="0" w:space="0" w:color="auto"/>
                  </w:divBdr>
                  <w:divsChild>
                    <w:div w:id="680662677">
                      <w:marLeft w:val="0"/>
                      <w:marRight w:val="240"/>
                      <w:marTop w:val="0"/>
                      <w:marBottom w:val="0"/>
                      <w:divBdr>
                        <w:top w:val="none" w:sz="0" w:space="0" w:color="auto"/>
                        <w:left w:val="none" w:sz="0" w:space="0" w:color="auto"/>
                        <w:bottom w:val="none" w:sz="0" w:space="0" w:color="auto"/>
                        <w:right w:val="none" w:sz="0" w:space="0" w:color="auto"/>
                      </w:divBdr>
                    </w:div>
                    <w:div w:id="1528517911">
                      <w:marLeft w:val="0"/>
                      <w:marRight w:val="0"/>
                      <w:marTop w:val="0"/>
                      <w:marBottom w:val="0"/>
                      <w:divBdr>
                        <w:top w:val="none" w:sz="0" w:space="0" w:color="auto"/>
                        <w:left w:val="none" w:sz="0" w:space="0" w:color="auto"/>
                        <w:bottom w:val="none" w:sz="0" w:space="0" w:color="auto"/>
                        <w:right w:val="none" w:sz="0" w:space="0" w:color="auto"/>
                      </w:divBdr>
                    </w:div>
                  </w:divsChild>
                </w:div>
                <w:div w:id="1244804911">
                  <w:marLeft w:val="-225"/>
                  <w:marRight w:val="-225"/>
                  <w:marTop w:val="0"/>
                  <w:marBottom w:val="0"/>
                  <w:divBdr>
                    <w:top w:val="none" w:sz="0" w:space="0" w:color="auto"/>
                    <w:left w:val="none" w:sz="0" w:space="0" w:color="auto"/>
                    <w:bottom w:val="none" w:sz="0" w:space="0" w:color="auto"/>
                    <w:right w:val="none" w:sz="0" w:space="0" w:color="auto"/>
                  </w:divBdr>
                  <w:divsChild>
                    <w:div w:id="1088187471">
                      <w:marLeft w:val="0"/>
                      <w:marRight w:val="240"/>
                      <w:marTop w:val="0"/>
                      <w:marBottom w:val="0"/>
                      <w:divBdr>
                        <w:top w:val="none" w:sz="0" w:space="0" w:color="auto"/>
                        <w:left w:val="none" w:sz="0" w:space="0" w:color="auto"/>
                        <w:bottom w:val="none" w:sz="0" w:space="0" w:color="auto"/>
                        <w:right w:val="none" w:sz="0" w:space="0" w:color="auto"/>
                      </w:divBdr>
                    </w:div>
                    <w:div w:id="1003704561">
                      <w:marLeft w:val="0"/>
                      <w:marRight w:val="0"/>
                      <w:marTop w:val="0"/>
                      <w:marBottom w:val="0"/>
                      <w:divBdr>
                        <w:top w:val="none" w:sz="0" w:space="0" w:color="auto"/>
                        <w:left w:val="none" w:sz="0" w:space="0" w:color="auto"/>
                        <w:bottom w:val="none" w:sz="0" w:space="0" w:color="auto"/>
                        <w:right w:val="none" w:sz="0" w:space="0" w:color="auto"/>
                      </w:divBdr>
                    </w:div>
                  </w:divsChild>
                </w:div>
                <w:div w:id="856578750">
                  <w:marLeft w:val="-225"/>
                  <w:marRight w:val="-225"/>
                  <w:marTop w:val="0"/>
                  <w:marBottom w:val="0"/>
                  <w:divBdr>
                    <w:top w:val="none" w:sz="0" w:space="0" w:color="auto"/>
                    <w:left w:val="none" w:sz="0" w:space="0" w:color="auto"/>
                    <w:bottom w:val="none" w:sz="0" w:space="0" w:color="auto"/>
                    <w:right w:val="none" w:sz="0" w:space="0" w:color="auto"/>
                  </w:divBdr>
                  <w:divsChild>
                    <w:div w:id="448742945">
                      <w:marLeft w:val="0"/>
                      <w:marRight w:val="240"/>
                      <w:marTop w:val="0"/>
                      <w:marBottom w:val="0"/>
                      <w:divBdr>
                        <w:top w:val="none" w:sz="0" w:space="0" w:color="auto"/>
                        <w:left w:val="none" w:sz="0" w:space="0" w:color="auto"/>
                        <w:bottom w:val="none" w:sz="0" w:space="0" w:color="auto"/>
                        <w:right w:val="none" w:sz="0" w:space="0" w:color="auto"/>
                      </w:divBdr>
                    </w:div>
                    <w:div w:id="1988506105">
                      <w:marLeft w:val="0"/>
                      <w:marRight w:val="0"/>
                      <w:marTop w:val="0"/>
                      <w:marBottom w:val="0"/>
                      <w:divBdr>
                        <w:top w:val="none" w:sz="0" w:space="0" w:color="auto"/>
                        <w:left w:val="none" w:sz="0" w:space="0" w:color="auto"/>
                        <w:bottom w:val="none" w:sz="0" w:space="0" w:color="auto"/>
                        <w:right w:val="none" w:sz="0" w:space="0" w:color="auto"/>
                      </w:divBdr>
                    </w:div>
                  </w:divsChild>
                </w:div>
                <w:div w:id="1645281515">
                  <w:marLeft w:val="-225"/>
                  <w:marRight w:val="-225"/>
                  <w:marTop w:val="0"/>
                  <w:marBottom w:val="0"/>
                  <w:divBdr>
                    <w:top w:val="none" w:sz="0" w:space="0" w:color="auto"/>
                    <w:left w:val="none" w:sz="0" w:space="0" w:color="auto"/>
                    <w:bottom w:val="none" w:sz="0" w:space="0" w:color="auto"/>
                    <w:right w:val="none" w:sz="0" w:space="0" w:color="auto"/>
                  </w:divBdr>
                  <w:divsChild>
                    <w:div w:id="1130854327">
                      <w:marLeft w:val="0"/>
                      <w:marRight w:val="240"/>
                      <w:marTop w:val="0"/>
                      <w:marBottom w:val="0"/>
                      <w:divBdr>
                        <w:top w:val="none" w:sz="0" w:space="0" w:color="auto"/>
                        <w:left w:val="none" w:sz="0" w:space="0" w:color="auto"/>
                        <w:bottom w:val="none" w:sz="0" w:space="0" w:color="auto"/>
                        <w:right w:val="none" w:sz="0" w:space="0" w:color="auto"/>
                      </w:divBdr>
                    </w:div>
                    <w:div w:id="1240216072">
                      <w:marLeft w:val="0"/>
                      <w:marRight w:val="0"/>
                      <w:marTop w:val="0"/>
                      <w:marBottom w:val="0"/>
                      <w:divBdr>
                        <w:top w:val="none" w:sz="0" w:space="0" w:color="auto"/>
                        <w:left w:val="none" w:sz="0" w:space="0" w:color="auto"/>
                        <w:bottom w:val="none" w:sz="0" w:space="0" w:color="auto"/>
                        <w:right w:val="none" w:sz="0" w:space="0" w:color="auto"/>
                      </w:divBdr>
                    </w:div>
                  </w:divsChild>
                </w:div>
                <w:div w:id="1654065318">
                  <w:marLeft w:val="-225"/>
                  <w:marRight w:val="-225"/>
                  <w:marTop w:val="0"/>
                  <w:marBottom w:val="0"/>
                  <w:divBdr>
                    <w:top w:val="none" w:sz="0" w:space="0" w:color="auto"/>
                    <w:left w:val="none" w:sz="0" w:space="0" w:color="auto"/>
                    <w:bottom w:val="none" w:sz="0" w:space="0" w:color="auto"/>
                    <w:right w:val="none" w:sz="0" w:space="0" w:color="auto"/>
                  </w:divBdr>
                  <w:divsChild>
                    <w:div w:id="803695392">
                      <w:marLeft w:val="0"/>
                      <w:marRight w:val="240"/>
                      <w:marTop w:val="0"/>
                      <w:marBottom w:val="0"/>
                      <w:divBdr>
                        <w:top w:val="none" w:sz="0" w:space="0" w:color="auto"/>
                        <w:left w:val="none" w:sz="0" w:space="0" w:color="auto"/>
                        <w:bottom w:val="none" w:sz="0" w:space="0" w:color="auto"/>
                        <w:right w:val="none" w:sz="0" w:space="0" w:color="auto"/>
                      </w:divBdr>
                    </w:div>
                    <w:div w:id="1462843218">
                      <w:marLeft w:val="0"/>
                      <w:marRight w:val="0"/>
                      <w:marTop w:val="0"/>
                      <w:marBottom w:val="0"/>
                      <w:divBdr>
                        <w:top w:val="none" w:sz="0" w:space="0" w:color="auto"/>
                        <w:left w:val="none" w:sz="0" w:space="0" w:color="auto"/>
                        <w:bottom w:val="none" w:sz="0" w:space="0" w:color="auto"/>
                        <w:right w:val="none" w:sz="0" w:space="0" w:color="auto"/>
                      </w:divBdr>
                    </w:div>
                  </w:divsChild>
                </w:div>
                <w:div w:id="1333877896">
                  <w:marLeft w:val="-225"/>
                  <w:marRight w:val="-225"/>
                  <w:marTop w:val="0"/>
                  <w:marBottom w:val="0"/>
                  <w:divBdr>
                    <w:top w:val="none" w:sz="0" w:space="0" w:color="auto"/>
                    <w:left w:val="none" w:sz="0" w:space="0" w:color="auto"/>
                    <w:bottom w:val="none" w:sz="0" w:space="0" w:color="auto"/>
                    <w:right w:val="none" w:sz="0" w:space="0" w:color="auto"/>
                  </w:divBdr>
                  <w:divsChild>
                    <w:div w:id="1573077189">
                      <w:marLeft w:val="0"/>
                      <w:marRight w:val="240"/>
                      <w:marTop w:val="0"/>
                      <w:marBottom w:val="0"/>
                      <w:divBdr>
                        <w:top w:val="none" w:sz="0" w:space="0" w:color="auto"/>
                        <w:left w:val="none" w:sz="0" w:space="0" w:color="auto"/>
                        <w:bottom w:val="none" w:sz="0" w:space="0" w:color="auto"/>
                        <w:right w:val="none" w:sz="0" w:space="0" w:color="auto"/>
                      </w:divBdr>
                    </w:div>
                    <w:div w:id="1620255481">
                      <w:marLeft w:val="0"/>
                      <w:marRight w:val="0"/>
                      <w:marTop w:val="0"/>
                      <w:marBottom w:val="0"/>
                      <w:divBdr>
                        <w:top w:val="none" w:sz="0" w:space="0" w:color="auto"/>
                        <w:left w:val="none" w:sz="0" w:space="0" w:color="auto"/>
                        <w:bottom w:val="none" w:sz="0" w:space="0" w:color="auto"/>
                        <w:right w:val="none" w:sz="0" w:space="0" w:color="auto"/>
                      </w:divBdr>
                    </w:div>
                  </w:divsChild>
                </w:div>
                <w:div w:id="166752597">
                  <w:marLeft w:val="-225"/>
                  <w:marRight w:val="-225"/>
                  <w:marTop w:val="0"/>
                  <w:marBottom w:val="0"/>
                  <w:divBdr>
                    <w:top w:val="none" w:sz="0" w:space="0" w:color="auto"/>
                    <w:left w:val="none" w:sz="0" w:space="0" w:color="auto"/>
                    <w:bottom w:val="none" w:sz="0" w:space="0" w:color="auto"/>
                    <w:right w:val="none" w:sz="0" w:space="0" w:color="auto"/>
                  </w:divBdr>
                  <w:divsChild>
                    <w:div w:id="1799833168">
                      <w:marLeft w:val="0"/>
                      <w:marRight w:val="240"/>
                      <w:marTop w:val="0"/>
                      <w:marBottom w:val="0"/>
                      <w:divBdr>
                        <w:top w:val="none" w:sz="0" w:space="0" w:color="auto"/>
                        <w:left w:val="none" w:sz="0" w:space="0" w:color="auto"/>
                        <w:bottom w:val="none" w:sz="0" w:space="0" w:color="auto"/>
                        <w:right w:val="none" w:sz="0" w:space="0" w:color="auto"/>
                      </w:divBdr>
                    </w:div>
                    <w:div w:id="262496226">
                      <w:marLeft w:val="0"/>
                      <w:marRight w:val="0"/>
                      <w:marTop w:val="0"/>
                      <w:marBottom w:val="0"/>
                      <w:divBdr>
                        <w:top w:val="none" w:sz="0" w:space="0" w:color="auto"/>
                        <w:left w:val="none" w:sz="0" w:space="0" w:color="auto"/>
                        <w:bottom w:val="none" w:sz="0" w:space="0" w:color="auto"/>
                        <w:right w:val="none" w:sz="0" w:space="0" w:color="auto"/>
                      </w:divBdr>
                    </w:div>
                  </w:divsChild>
                </w:div>
                <w:div w:id="740448732">
                  <w:marLeft w:val="-225"/>
                  <w:marRight w:val="-225"/>
                  <w:marTop w:val="0"/>
                  <w:marBottom w:val="0"/>
                  <w:divBdr>
                    <w:top w:val="none" w:sz="0" w:space="0" w:color="auto"/>
                    <w:left w:val="none" w:sz="0" w:space="0" w:color="auto"/>
                    <w:bottom w:val="none" w:sz="0" w:space="0" w:color="auto"/>
                    <w:right w:val="none" w:sz="0" w:space="0" w:color="auto"/>
                  </w:divBdr>
                  <w:divsChild>
                    <w:div w:id="1951551896">
                      <w:marLeft w:val="0"/>
                      <w:marRight w:val="240"/>
                      <w:marTop w:val="0"/>
                      <w:marBottom w:val="0"/>
                      <w:divBdr>
                        <w:top w:val="none" w:sz="0" w:space="0" w:color="auto"/>
                        <w:left w:val="none" w:sz="0" w:space="0" w:color="auto"/>
                        <w:bottom w:val="none" w:sz="0" w:space="0" w:color="auto"/>
                        <w:right w:val="none" w:sz="0" w:space="0" w:color="auto"/>
                      </w:divBdr>
                    </w:div>
                    <w:div w:id="1116482958">
                      <w:marLeft w:val="0"/>
                      <w:marRight w:val="0"/>
                      <w:marTop w:val="0"/>
                      <w:marBottom w:val="0"/>
                      <w:divBdr>
                        <w:top w:val="none" w:sz="0" w:space="0" w:color="auto"/>
                        <w:left w:val="none" w:sz="0" w:space="0" w:color="auto"/>
                        <w:bottom w:val="none" w:sz="0" w:space="0" w:color="auto"/>
                        <w:right w:val="none" w:sz="0" w:space="0" w:color="auto"/>
                      </w:divBdr>
                    </w:div>
                  </w:divsChild>
                </w:div>
                <w:div w:id="2125418179">
                  <w:marLeft w:val="-225"/>
                  <w:marRight w:val="-225"/>
                  <w:marTop w:val="0"/>
                  <w:marBottom w:val="0"/>
                  <w:divBdr>
                    <w:top w:val="none" w:sz="0" w:space="0" w:color="auto"/>
                    <w:left w:val="none" w:sz="0" w:space="0" w:color="auto"/>
                    <w:bottom w:val="none" w:sz="0" w:space="0" w:color="auto"/>
                    <w:right w:val="none" w:sz="0" w:space="0" w:color="auto"/>
                  </w:divBdr>
                  <w:divsChild>
                    <w:div w:id="33239304">
                      <w:marLeft w:val="0"/>
                      <w:marRight w:val="240"/>
                      <w:marTop w:val="0"/>
                      <w:marBottom w:val="0"/>
                      <w:divBdr>
                        <w:top w:val="none" w:sz="0" w:space="0" w:color="auto"/>
                        <w:left w:val="none" w:sz="0" w:space="0" w:color="auto"/>
                        <w:bottom w:val="none" w:sz="0" w:space="0" w:color="auto"/>
                        <w:right w:val="none" w:sz="0" w:space="0" w:color="auto"/>
                      </w:divBdr>
                    </w:div>
                    <w:div w:id="410735031">
                      <w:marLeft w:val="0"/>
                      <w:marRight w:val="0"/>
                      <w:marTop w:val="0"/>
                      <w:marBottom w:val="0"/>
                      <w:divBdr>
                        <w:top w:val="none" w:sz="0" w:space="0" w:color="auto"/>
                        <w:left w:val="none" w:sz="0" w:space="0" w:color="auto"/>
                        <w:bottom w:val="none" w:sz="0" w:space="0" w:color="auto"/>
                        <w:right w:val="none" w:sz="0" w:space="0" w:color="auto"/>
                      </w:divBdr>
                    </w:div>
                  </w:divsChild>
                </w:div>
                <w:div w:id="132599374">
                  <w:marLeft w:val="-225"/>
                  <w:marRight w:val="-225"/>
                  <w:marTop w:val="0"/>
                  <w:marBottom w:val="0"/>
                  <w:divBdr>
                    <w:top w:val="none" w:sz="0" w:space="0" w:color="auto"/>
                    <w:left w:val="none" w:sz="0" w:space="0" w:color="auto"/>
                    <w:bottom w:val="none" w:sz="0" w:space="0" w:color="auto"/>
                    <w:right w:val="none" w:sz="0" w:space="0" w:color="auto"/>
                  </w:divBdr>
                  <w:divsChild>
                    <w:div w:id="883180376">
                      <w:marLeft w:val="0"/>
                      <w:marRight w:val="240"/>
                      <w:marTop w:val="0"/>
                      <w:marBottom w:val="0"/>
                      <w:divBdr>
                        <w:top w:val="none" w:sz="0" w:space="0" w:color="auto"/>
                        <w:left w:val="none" w:sz="0" w:space="0" w:color="auto"/>
                        <w:bottom w:val="none" w:sz="0" w:space="0" w:color="auto"/>
                        <w:right w:val="none" w:sz="0" w:space="0" w:color="auto"/>
                      </w:divBdr>
                    </w:div>
                    <w:div w:id="559173728">
                      <w:marLeft w:val="0"/>
                      <w:marRight w:val="0"/>
                      <w:marTop w:val="0"/>
                      <w:marBottom w:val="0"/>
                      <w:divBdr>
                        <w:top w:val="none" w:sz="0" w:space="0" w:color="auto"/>
                        <w:left w:val="none" w:sz="0" w:space="0" w:color="auto"/>
                        <w:bottom w:val="none" w:sz="0" w:space="0" w:color="auto"/>
                        <w:right w:val="none" w:sz="0" w:space="0" w:color="auto"/>
                      </w:divBdr>
                    </w:div>
                  </w:divsChild>
                </w:div>
                <w:div w:id="1154030408">
                  <w:marLeft w:val="-225"/>
                  <w:marRight w:val="-225"/>
                  <w:marTop w:val="0"/>
                  <w:marBottom w:val="0"/>
                  <w:divBdr>
                    <w:top w:val="none" w:sz="0" w:space="0" w:color="auto"/>
                    <w:left w:val="none" w:sz="0" w:space="0" w:color="auto"/>
                    <w:bottom w:val="none" w:sz="0" w:space="0" w:color="auto"/>
                    <w:right w:val="none" w:sz="0" w:space="0" w:color="auto"/>
                  </w:divBdr>
                  <w:divsChild>
                    <w:div w:id="323707231">
                      <w:marLeft w:val="0"/>
                      <w:marRight w:val="240"/>
                      <w:marTop w:val="0"/>
                      <w:marBottom w:val="0"/>
                      <w:divBdr>
                        <w:top w:val="none" w:sz="0" w:space="0" w:color="auto"/>
                        <w:left w:val="none" w:sz="0" w:space="0" w:color="auto"/>
                        <w:bottom w:val="none" w:sz="0" w:space="0" w:color="auto"/>
                        <w:right w:val="none" w:sz="0" w:space="0" w:color="auto"/>
                      </w:divBdr>
                    </w:div>
                    <w:div w:id="487135762">
                      <w:marLeft w:val="0"/>
                      <w:marRight w:val="0"/>
                      <w:marTop w:val="0"/>
                      <w:marBottom w:val="0"/>
                      <w:divBdr>
                        <w:top w:val="none" w:sz="0" w:space="0" w:color="auto"/>
                        <w:left w:val="none" w:sz="0" w:space="0" w:color="auto"/>
                        <w:bottom w:val="none" w:sz="0" w:space="0" w:color="auto"/>
                        <w:right w:val="none" w:sz="0" w:space="0" w:color="auto"/>
                      </w:divBdr>
                    </w:div>
                  </w:divsChild>
                </w:div>
                <w:div w:id="242496857">
                  <w:marLeft w:val="-225"/>
                  <w:marRight w:val="-225"/>
                  <w:marTop w:val="0"/>
                  <w:marBottom w:val="0"/>
                  <w:divBdr>
                    <w:top w:val="none" w:sz="0" w:space="0" w:color="auto"/>
                    <w:left w:val="none" w:sz="0" w:space="0" w:color="auto"/>
                    <w:bottom w:val="none" w:sz="0" w:space="0" w:color="auto"/>
                    <w:right w:val="none" w:sz="0" w:space="0" w:color="auto"/>
                  </w:divBdr>
                  <w:divsChild>
                    <w:div w:id="396443873">
                      <w:marLeft w:val="0"/>
                      <w:marRight w:val="240"/>
                      <w:marTop w:val="0"/>
                      <w:marBottom w:val="0"/>
                      <w:divBdr>
                        <w:top w:val="none" w:sz="0" w:space="0" w:color="auto"/>
                        <w:left w:val="none" w:sz="0" w:space="0" w:color="auto"/>
                        <w:bottom w:val="none" w:sz="0" w:space="0" w:color="auto"/>
                        <w:right w:val="none" w:sz="0" w:space="0" w:color="auto"/>
                      </w:divBdr>
                    </w:div>
                    <w:div w:id="372928830">
                      <w:marLeft w:val="0"/>
                      <w:marRight w:val="0"/>
                      <w:marTop w:val="0"/>
                      <w:marBottom w:val="0"/>
                      <w:divBdr>
                        <w:top w:val="none" w:sz="0" w:space="0" w:color="auto"/>
                        <w:left w:val="none" w:sz="0" w:space="0" w:color="auto"/>
                        <w:bottom w:val="none" w:sz="0" w:space="0" w:color="auto"/>
                        <w:right w:val="none" w:sz="0" w:space="0" w:color="auto"/>
                      </w:divBdr>
                    </w:div>
                  </w:divsChild>
                </w:div>
                <w:div w:id="394473152">
                  <w:marLeft w:val="-225"/>
                  <w:marRight w:val="-225"/>
                  <w:marTop w:val="0"/>
                  <w:marBottom w:val="0"/>
                  <w:divBdr>
                    <w:top w:val="none" w:sz="0" w:space="0" w:color="auto"/>
                    <w:left w:val="none" w:sz="0" w:space="0" w:color="auto"/>
                    <w:bottom w:val="none" w:sz="0" w:space="0" w:color="auto"/>
                    <w:right w:val="none" w:sz="0" w:space="0" w:color="auto"/>
                  </w:divBdr>
                  <w:divsChild>
                    <w:div w:id="940381672">
                      <w:marLeft w:val="0"/>
                      <w:marRight w:val="240"/>
                      <w:marTop w:val="0"/>
                      <w:marBottom w:val="0"/>
                      <w:divBdr>
                        <w:top w:val="none" w:sz="0" w:space="0" w:color="auto"/>
                        <w:left w:val="none" w:sz="0" w:space="0" w:color="auto"/>
                        <w:bottom w:val="none" w:sz="0" w:space="0" w:color="auto"/>
                        <w:right w:val="none" w:sz="0" w:space="0" w:color="auto"/>
                      </w:divBdr>
                    </w:div>
                    <w:div w:id="19298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2020-03-27T07:38:00Z</dcterms:created>
  <dcterms:modified xsi:type="dcterms:W3CDTF">2020-03-27T07:38:00Z</dcterms:modified>
</cp:coreProperties>
</file>